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b/>
          <w:bCs/>
          <w:color w:val="000000"/>
          <w:sz w:val="48"/>
          <w:szCs w:val="72"/>
        </w:rPr>
      </w:pPr>
    </w:p>
    <w:p>
      <w:pPr>
        <w:jc w:val="center"/>
        <w:rPr>
          <w:rFonts w:ascii="华文行楷" w:eastAsia="华文行楷"/>
          <w:sz w:val="52"/>
          <w:szCs w:val="44"/>
        </w:rPr>
      </w:pPr>
      <w:r>
        <w:rPr>
          <w:rFonts w:hint="eastAsia" w:ascii="华文行楷" w:eastAsia="华文行楷"/>
          <w:sz w:val="52"/>
          <w:szCs w:val="44"/>
        </w:rPr>
        <w:t>安徽扬子职业技术学院</w:t>
      </w:r>
    </w:p>
    <w:p>
      <w:pPr>
        <w:ind w:firstLine="1300" w:firstLineChars="250"/>
        <w:rPr>
          <w:rFonts w:ascii="黑体" w:eastAsia="黑体"/>
          <w:sz w:val="52"/>
          <w:szCs w:val="44"/>
        </w:rPr>
      </w:pPr>
    </w:p>
    <w:p>
      <w:pPr>
        <w:ind w:firstLine="1446" w:firstLineChars="200"/>
        <w:jc w:val="both"/>
        <w:rPr>
          <w:rFonts w:asciiTheme="minorEastAsia" w:hAnsiTheme="minorEastAsia" w:eastAsiaTheme="minorEastAsia"/>
          <w:b/>
          <w:sz w:val="72"/>
          <w:szCs w:val="72"/>
        </w:rPr>
      </w:pPr>
      <w:r>
        <w:rPr>
          <w:rFonts w:hint="eastAsia" w:asciiTheme="minorEastAsia" w:hAnsiTheme="minorEastAsia" w:eastAsiaTheme="minorEastAsia"/>
          <w:b/>
          <w:sz w:val="72"/>
          <w:szCs w:val="72"/>
        </w:rPr>
        <w:t>院级</w:t>
      </w:r>
      <w:r>
        <w:rPr>
          <w:rFonts w:hint="eastAsia" w:asciiTheme="minorEastAsia" w:hAnsiTheme="minorEastAsia" w:eastAsiaTheme="minorEastAsia"/>
          <w:b/>
          <w:bCs/>
          <w:color w:val="000000"/>
          <w:sz w:val="72"/>
          <w:szCs w:val="72"/>
        </w:rPr>
        <w:t>精品课程</w:t>
      </w:r>
      <w:r>
        <w:rPr>
          <w:rFonts w:hint="eastAsia" w:asciiTheme="minorEastAsia" w:hAnsiTheme="minorEastAsia" w:eastAsiaTheme="minorEastAsia"/>
          <w:b/>
          <w:sz w:val="72"/>
          <w:szCs w:val="72"/>
        </w:rPr>
        <w:t>申报书</w:t>
      </w:r>
    </w:p>
    <w:p/>
    <w:p/>
    <w:p>
      <w:pPr>
        <w:spacing w:line="480" w:lineRule="auto"/>
        <w:ind w:firstLine="1120" w:firstLineChars="400"/>
        <w:rPr>
          <w:rFonts w:ascii="仿宋_GB2312" w:eastAsia="仿宋_GB2312"/>
          <w:color w:val="000000"/>
          <w:sz w:val="28"/>
        </w:rPr>
      </w:pPr>
    </w:p>
    <w:p>
      <w:pPr>
        <w:spacing w:line="480" w:lineRule="auto"/>
        <w:ind w:left="3637" w:leftChars="532" w:hanging="2520" w:hangingChars="900"/>
        <w:rPr>
          <w:rFonts w:hint="default" w:ascii="仿宋_GB2312" w:eastAsia="仿宋_GB2312"/>
          <w:color w:val="000000"/>
          <w:sz w:val="28"/>
          <w:u w:val="single"/>
          <w:lang w:val="en-US" w:eastAsia="zh-CN"/>
        </w:rPr>
      </w:pPr>
      <w:r>
        <w:rPr>
          <w:rFonts w:hint="eastAsia" w:ascii="仿宋_GB2312" w:eastAsia="仿宋_GB2312"/>
          <w:color w:val="000000"/>
          <w:sz w:val="28"/>
        </w:rPr>
        <w:t>课   程  名   称</w:t>
      </w:r>
      <w:r>
        <w:rPr>
          <w:rFonts w:hint="eastAsia" w:ascii="仿宋_GB2312" w:eastAsia="仿宋_GB2312"/>
          <w:color w:val="000000"/>
          <w:sz w:val="28"/>
          <w:u w:val="single"/>
        </w:rPr>
        <w:t xml:space="preserve"> </w:t>
      </w:r>
      <w:r>
        <w:rPr>
          <w:rFonts w:hint="eastAsia" w:ascii="仿宋_GB2312" w:eastAsia="仿宋_GB2312"/>
          <w:color w:val="000000"/>
          <w:sz w:val="28"/>
          <w:u w:val="single"/>
          <w:lang w:eastAsia="zh-CN"/>
        </w:rPr>
        <w:t>《</w:t>
      </w:r>
      <w:r>
        <w:rPr>
          <w:rFonts w:hint="eastAsia" w:ascii="仿宋_GB2312" w:eastAsia="仿宋_GB2312"/>
          <w:color w:val="000000"/>
          <w:sz w:val="28"/>
          <w:u w:val="single"/>
          <w:lang w:val="en-US" w:eastAsia="zh-CN"/>
        </w:rPr>
        <w:t xml:space="preserve">毛泽东思想和中国特色    </w:t>
      </w:r>
    </w:p>
    <w:p>
      <w:pPr>
        <w:spacing w:line="480" w:lineRule="auto"/>
        <w:ind w:left="3637" w:leftChars="532" w:hanging="2520" w:hangingChars="900"/>
        <w:rPr>
          <w:rFonts w:ascii="仿宋_GB2312" w:eastAsia="仿宋_GB2312"/>
          <w:color w:val="000000"/>
          <w:sz w:val="28"/>
        </w:rPr>
      </w:pPr>
      <w:r>
        <w:rPr>
          <w:rFonts w:hint="eastAsia" w:ascii="仿宋_GB2312" w:eastAsia="仿宋_GB2312"/>
          <w:color w:val="000000"/>
          <w:sz w:val="28"/>
          <w:u w:val="none"/>
          <w:lang w:val="en-US" w:eastAsia="zh-CN"/>
        </w:rPr>
        <w:t xml:space="preserve">       </w:t>
      </w:r>
      <w:r>
        <w:rPr>
          <w:rFonts w:hint="eastAsia" w:ascii="仿宋_GB2312" w:eastAsia="仿宋_GB2312"/>
          <w:color w:val="000000"/>
          <w:sz w:val="28"/>
          <w:u w:val="none"/>
        </w:rPr>
        <w:t xml:space="preserve">         </w:t>
      </w:r>
      <w:r>
        <w:rPr>
          <w:rFonts w:hint="eastAsia" w:ascii="仿宋_GB2312" w:eastAsia="仿宋_GB2312"/>
          <w:color w:val="000000"/>
          <w:sz w:val="28"/>
          <w:u w:val="single"/>
          <w:lang w:val="en-US" w:eastAsia="zh-CN"/>
        </w:rPr>
        <w:t xml:space="preserve">  社会主义理论体系概论</w:t>
      </w:r>
      <w:r>
        <w:rPr>
          <w:rFonts w:hint="eastAsia" w:ascii="仿宋_GB2312" w:eastAsia="仿宋_GB2312"/>
          <w:color w:val="000000"/>
          <w:sz w:val="28"/>
          <w:u w:val="single"/>
          <w:lang w:eastAsia="zh-CN"/>
        </w:rPr>
        <w:t>》</w:t>
      </w:r>
      <w:r>
        <w:rPr>
          <w:rFonts w:hint="eastAsia" w:ascii="仿宋_GB2312" w:eastAsia="仿宋_GB2312"/>
          <w:color w:val="000000"/>
          <w:sz w:val="28"/>
          <w:u w:val="single"/>
        </w:rPr>
        <w:t xml:space="preserve">   </w:t>
      </w:r>
      <w:r>
        <w:rPr>
          <w:rFonts w:hint="eastAsia" w:ascii="仿宋_GB2312" w:eastAsia="仿宋_GB2312"/>
          <w:sz w:val="28"/>
          <w:u w:val="none"/>
        </w:rPr>
        <w:t xml:space="preserve">     </w:t>
      </w:r>
      <w:r>
        <w:rPr>
          <w:rFonts w:hint="eastAsia" w:ascii="仿宋_GB2312" w:eastAsia="仿宋_GB2312"/>
          <w:color w:val="000000"/>
          <w:sz w:val="28"/>
          <w:u w:val="none"/>
        </w:rPr>
        <w:t xml:space="preserve">    </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w:t>
      </w:r>
      <w:r>
        <w:rPr>
          <w:rFonts w:hint="eastAsia" w:ascii="仿宋_GB2312" w:eastAsia="仿宋_GB2312"/>
          <w:color w:val="000000"/>
          <w:sz w:val="28"/>
        </w:rPr>
        <w:t xml:space="preserve">            </w:t>
      </w:r>
    </w:p>
    <w:p>
      <w:pPr>
        <w:spacing w:line="480" w:lineRule="auto"/>
        <w:ind w:firstLine="1120" w:firstLineChars="400"/>
        <w:rPr>
          <w:rFonts w:ascii="仿宋_GB2312" w:eastAsia="仿宋_GB2312"/>
          <w:color w:val="000000"/>
          <w:sz w:val="28"/>
        </w:rPr>
      </w:pPr>
      <w:r>
        <w:rPr>
          <w:rFonts w:hint="eastAsia" w:ascii="仿宋_GB2312" w:eastAsia="仿宋_GB2312"/>
          <w:color w:val="000000"/>
          <w:sz w:val="28"/>
        </w:rPr>
        <w:t>所属专业大类名称</w:t>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马克思主义理论</w:t>
      </w:r>
      <w:r>
        <w:rPr>
          <w:rFonts w:hint="eastAsia" w:ascii="仿宋_GB2312" w:eastAsia="仿宋_GB2312"/>
          <w:color w:val="000000"/>
          <w:sz w:val="28"/>
          <w:u w:val="single"/>
        </w:rPr>
        <w:t xml:space="preserve">   </w:t>
      </w:r>
      <w:r>
        <w:rPr>
          <w:rFonts w:hint="eastAsia" w:ascii="仿宋_GB2312" w:eastAsia="仿宋_GB2312"/>
          <w:sz w:val="28"/>
          <w:u w:val="single"/>
        </w:rPr>
        <w:t xml:space="preserve">    </w:t>
      </w:r>
      <w:r>
        <w:rPr>
          <w:rFonts w:hint="eastAsia" w:ascii="仿宋_GB2312" w:eastAsia="仿宋_GB2312"/>
          <w:sz w:val="28"/>
          <w:u w:val="none"/>
        </w:rPr>
        <w:t xml:space="preserve">  </w:t>
      </w:r>
      <w:r>
        <w:rPr>
          <w:rFonts w:hint="eastAsia" w:ascii="仿宋_GB2312" w:eastAsia="仿宋_GB2312"/>
          <w:color w:val="000000"/>
          <w:sz w:val="28"/>
          <w:u w:val="none"/>
        </w:rPr>
        <w:t xml:space="preserve">            </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Pr>
        <w:spacing w:line="480" w:lineRule="auto"/>
        <w:ind w:firstLine="1120" w:firstLineChars="400"/>
        <w:rPr>
          <w:rFonts w:ascii="仿宋_GB2312" w:eastAsia="仿宋_GB2312"/>
          <w:color w:val="000000"/>
          <w:sz w:val="28"/>
          <w:u w:val="single"/>
          <w:bdr w:val="single" w:color="auto" w:sz="4" w:space="0"/>
        </w:rPr>
      </w:pPr>
      <w:r>
        <w:rPr>
          <w:rFonts w:hint="eastAsia" w:ascii="仿宋_GB2312" w:eastAsia="仿宋_GB2312"/>
          <w:color w:val="000000"/>
          <w:sz w:val="28"/>
        </w:rPr>
        <w:t>所属专业类 名 称</w:t>
      </w:r>
      <w:r>
        <w:rPr>
          <w:rFonts w:hint="eastAsia" w:ascii="仿宋_GB2312" w:eastAsia="仿宋_GB2312"/>
          <w:color w:val="000000"/>
          <w:sz w:val="28"/>
          <w:u w:val="single"/>
        </w:rPr>
        <w:t xml:space="preserve">                           </w:t>
      </w:r>
      <w:r>
        <w:rPr>
          <w:rFonts w:hint="eastAsia" w:ascii="仿宋_GB2312" w:eastAsia="仿宋_GB2312"/>
          <w:color w:val="000000"/>
          <w:sz w:val="28"/>
          <w:u w:val="none"/>
          <w:lang w:val="en-US" w:eastAsia="zh-CN"/>
        </w:rPr>
        <w:t xml:space="preserve">         </w:t>
      </w:r>
      <w:r>
        <w:rPr>
          <w:rFonts w:hint="eastAsia" w:ascii="仿宋_GB2312" w:eastAsia="仿宋_GB2312"/>
          <w:color w:val="000000"/>
          <w:sz w:val="28"/>
          <w:u w:val="single"/>
          <w:lang w:val="en-US" w:eastAsia="zh-CN"/>
        </w:rPr>
        <w:t xml:space="preserve">   </w:t>
      </w:r>
      <w:r>
        <w:rPr>
          <w:rFonts w:hint="eastAsia" w:ascii="仿宋_GB2312" w:eastAsia="仿宋_GB2312"/>
          <w:color w:val="000000"/>
          <w:sz w:val="28"/>
        </w:rPr>
        <w:t xml:space="preserve"> </w:t>
      </w:r>
    </w:p>
    <w:p>
      <w:pPr>
        <w:spacing w:line="480" w:lineRule="auto"/>
        <w:ind w:firstLine="1120" w:firstLineChars="400"/>
        <w:rPr>
          <w:rFonts w:ascii="仿宋_GB2312" w:eastAsia="仿宋_GB2312"/>
          <w:color w:val="000000"/>
          <w:sz w:val="28"/>
          <w:u w:val="single"/>
        </w:rPr>
      </w:pPr>
      <w:r>
        <w:rPr>
          <w:rFonts w:hint="eastAsia" w:ascii="仿宋_GB2312" w:eastAsia="仿宋_GB2312"/>
          <w:color w:val="000000"/>
          <w:sz w:val="28"/>
        </w:rPr>
        <w:t>课  程  负 责 人</w:t>
      </w:r>
      <w:r>
        <w:rPr>
          <w:rFonts w:hint="eastAsia" w:ascii="仿宋_GB2312" w:eastAsia="仿宋_GB2312"/>
          <w:color w:val="000000"/>
          <w:sz w:val="28"/>
          <w:u w:val="single"/>
        </w:rPr>
        <w:tab/>
      </w:r>
      <w:r>
        <w:rPr>
          <w:rFonts w:hint="eastAsia" w:ascii="仿宋_GB2312" w:eastAsia="仿宋_GB2312"/>
          <w:color w:val="000000"/>
          <w:sz w:val="28"/>
          <w:u w:val="single"/>
          <w:lang w:val="en-US" w:eastAsia="zh-CN"/>
        </w:rPr>
        <w:t xml:space="preserve">      吕 晓 婷</w:t>
      </w:r>
      <w:r>
        <w:rPr>
          <w:rFonts w:hint="eastAsia" w:ascii="仿宋_GB2312" w:eastAsia="仿宋_GB2312"/>
          <w:color w:val="000000"/>
          <w:sz w:val="28"/>
          <w:u w:val="single"/>
        </w:rPr>
        <w:t xml:space="preserve">          </w:t>
      </w:r>
      <w:r>
        <w:rPr>
          <w:rFonts w:hint="eastAsia" w:ascii="仿宋_GB2312" w:eastAsia="仿宋_GB2312"/>
          <w:color w:val="000000"/>
          <w:sz w:val="28"/>
          <w:u w:val="none"/>
        </w:rPr>
        <w:t xml:space="preserve">                </w:t>
      </w:r>
      <w:r>
        <w:rPr>
          <w:rFonts w:hint="eastAsia" w:ascii="仿宋_GB2312" w:eastAsia="仿宋_GB2312"/>
          <w:color w:val="000000"/>
          <w:sz w:val="28"/>
        </w:rPr>
        <w:t xml:space="preserve">       </w:t>
      </w:r>
    </w:p>
    <w:p>
      <w:pPr>
        <w:spacing w:line="480" w:lineRule="auto"/>
        <w:ind w:firstLine="1120" w:firstLineChars="400"/>
        <w:rPr>
          <w:rFonts w:ascii="仿宋_GB2312" w:eastAsia="仿宋_GB2312"/>
          <w:color w:val="000000"/>
          <w:sz w:val="28"/>
          <w:u w:val="single"/>
        </w:rPr>
      </w:pPr>
      <w:r>
        <w:rPr>
          <w:rFonts w:hint="eastAsia" w:ascii="仿宋_GB2312" w:eastAsia="仿宋_GB2312"/>
          <w:color w:val="000000"/>
          <w:sz w:val="28"/>
        </w:rPr>
        <w:t>所     属  系(部)</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基 础 部</w:t>
      </w:r>
      <w:r>
        <w:rPr>
          <w:rFonts w:hint="eastAsia" w:ascii="仿宋_GB2312" w:eastAsia="仿宋_GB2312"/>
          <w:color w:val="000000"/>
          <w:sz w:val="28"/>
          <w:u w:val="single"/>
        </w:rPr>
        <w:t xml:space="preserve">          </w:t>
      </w:r>
      <w:r>
        <w:rPr>
          <w:rFonts w:hint="eastAsia" w:ascii="仿宋_GB2312" w:eastAsia="仿宋_GB2312"/>
          <w:color w:val="000000"/>
          <w:sz w:val="28"/>
          <w:u w:val="none"/>
        </w:rPr>
        <w:t xml:space="preserve">     </w:t>
      </w:r>
      <w:r>
        <w:rPr>
          <w:rFonts w:hint="eastAsia" w:ascii="仿宋_GB2312" w:eastAsia="仿宋_GB2312"/>
          <w:color w:val="000000"/>
          <w:sz w:val="28"/>
        </w:rPr>
        <w:t xml:space="preserve"> </w:t>
      </w:r>
    </w:p>
    <w:p>
      <w:pPr>
        <w:ind w:firstLine="1120" w:firstLineChars="400"/>
      </w:pPr>
      <w:r>
        <w:rPr>
          <w:rFonts w:hint="eastAsia" w:ascii="仿宋_GB2312" w:eastAsia="仿宋_GB2312"/>
          <w:color w:val="000000"/>
          <w:sz w:val="28"/>
        </w:rPr>
        <w:t>申   报  日  期</w:t>
      </w:r>
      <w:r>
        <w:rPr>
          <w:rFonts w:hint="eastAsia" w:ascii="仿宋_GB2312" w:eastAsia="仿宋_GB2312"/>
          <w:color w:val="000000"/>
          <w:sz w:val="28"/>
          <w:u w:val="single"/>
        </w:rPr>
        <w:tab/>
      </w:r>
      <w:r>
        <w:rPr>
          <w:rFonts w:hint="eastAsia" w:ascii="仿宋_GB2312" w:eastAsia="仿宋_GB2312"/>
          <w:color w:val="000000"/>
          <w:sz w:val="28"/>
          <w:u w:val="single"/>
        </w:rPr>
        <w:t xml:space="preserve">   </w:t>
      </w:r>
      <w:r>
        <w:rPr>
          <w:rFonts w:hint="eastAsia" w:ascii="仿宋_GB2312" w:eastAsia="仿宋_GB2312"/>
          <w:color w:val="000000"/>
          <w:sz w:val="28"/>
          <w:u w:val="single"/>
          <w:lang w:val="en-US" w:eastAsia="zh-CN"/>
        </w:rPr>
        <w:t xml:space="preserve"> 2019年8月16日</w:t>
      </w:r>
      <w:r>
        <w:rPr>
          <w:rFonts w:hint="eastAsia" w:ascii="仿宋_GB2312" w:eastAsia="仿宋_GB2312"/>
          <w:color w:val="000000"/>
          <w:sz w:val="28"/>
          <w:u w:val="single"/>
        </w:rPr>
        <w:t xml:space="preserve">       </w:t>
      </w:r>
      <w:r>
        <w:rPr>
          <w:rFonts w:hint="eastAsia" w:ascii="仿宋_GB2312" w:eastAsia="仿宋_GB2312"/>
          <w:color w:val="000000"/>
          <w:sz w:val="28"/>
          <w:u w:val="none"/>
        </w:rPr>
        <w:t xml:space="preserve">          </w:t>
      </w:r>
      <w:r>
        <w:rPr>
          <w:rFonts w:hint="eastAsia" w:ascii="仿宋_GB2312" w:eastAsia="仿宋_GB2312"/>
          <w:color w:val="000000"/>
          <w:sz w:val="28"/>
          <w:u w:val="single"/>
        </w:rPr>
        <w:t xml:space="preserve">        </w:t>
      </w:r>
      <w:r>
        <w:rPr>
          <w:rFonts w:hint="eastAsia" w:ascii="仿宋_GB2312" w:eastAsia="仿宋_GB2312"/>
          <w:color w:val="000000"/>
          <w:sz w:val="28"/>
        </w:rPr>
        <w:t xml:space="preserve">    </w:t>
      </w:r>
    </w:p>
    <w:p/>
    <w:p/>
    <w:p/>
    <w:p/>
    <w:p/>
    <w:p/>
    <w:p/>
    <w:p>
      <w:pPr>
        <w:ind w:firstLine="2080" w:firstLineChars="650"/>
        <w:rPr>
          <w:rFonts w:ascii="宋体" w:hAnsi="宋体"/>
          <w:kern w:val="0"/>
          <w:sz w:val="32"/>
          <w:szCs w:val="32"/>
        </w:rPr>
      </w:pPr>
    </w:p>
    <w:p>
      <w:pPr>
        <w:ind w:firstLine="2080" w:firstLineChars="650"/>
        <w:rPr>
          <w:rFonts w:ascii="宋体" w:hAnsi="宋体"/>
          <w:kern w:val="0"/>
          <w:sz w:val="32"/>
          <w:szCs w:val="32"/>
        </w:rPr>
      </w:pPr>
    </w:p>
    <w:p>
      <w:pPr>
        <w:ind w:firstLine="2080" w:firstLineChars="650"/>
        <w:rPr>
          <w:rFonts w:hint="eastAsia" w:ascii="宋体" w:hAnsi="宋体"/>
          <w:kern w:val="0"/>
          <w:sz w:val="32"/>
          <w:szCs w:val="32"/>
        </w:rPr>
      </w:pPr>
    </w:p>
    <w:p>
      <w:pPr>
        <w:ind w:firstLine="2080" w:firstLineChars="650"/>
        <w:rPr>
          <w:rFonts w:hint="eastAsia" w:ascii="宋体" w:hAnsi="宋体"/>
          <w:kern w:val="0"/>
          <w:sz w:val="32"/>
          <w:szCs w:val="32"/>
        </w:rPr>
      </w:pPr>
    </w:p>
    <w:p>
      <w:pPr>
        <w:ind w:firstLine="2080" w:firstLineChars="650"/>
        <w:rPr>
          <w:rFonts w:ascii="宋体" w:hAnsi="宋体"/>
          <w:kern w:val="0"/>
          <w:sz w:val="32"/>
          <w:szCs w:val="32"/>
        </w:rPr>
      </w:pPr>
      <w:r>
        <w:rPr>
          <w:rFonts w:hint="eastAsia" w:ascii="宋体" w:hAnsi="宋体"/>
          <w:kern w:val="0"/>
          <w:sz w:val="32"/>
          <w:szCs w:val="32"/>
        </w:rPr>
        <w:t xml:space="preserve">安徽扬子职业技术学院  教务处 </w:t>
      </w:r>
    </w:p>
    <w:p>
      <w:pPr>
        <w:jc w:val="center"/>
        <w:rPr>
          <w:rFonts w:ascii="黑体" w:eastAsia="黑体"/>
          <w:kern w:val="0"/>
          <w:sz w:val="32"/>
          <w:szCs w:val="32"/>
        </w:rPr>
      </w:pPr>
      <w:r>
        <w:rPr>
          <w:rFonts w:hint="eastAsia" w:ascii="宋体"/>
          <w:kern w:val="0"/>
          <w:sz w:val="32"/>
          <w:szCs w:val="28"/>
        </w:rPr>
        <w:t>二〇</w:t>
      </w:r>
      <w:r>
        <w:rPr>
          <w:rFonts w:hint="eastAsia" w:ascii="宋体"/>
          <w:kern w:val="0"/>
          <w:sz w:val="32"/>
          <w:szCs w:val="28"/>
          <w:lang w:val="en-US" w:eastAsia="zh-CN"/>
        </w:rPr>
        <w:t>二</w:t>
      </w:r>
      <w:r>
        <w:rPr>
          <w:rFonts w:hint="eastAsia" w:ascii="宋体"/>
          <w:kern w:val="0"/>
          <w:sz w:val="32"/>
          <w:szCs w:val="28"/>
        </w:rPr>
        <w:t>〇年</w:t>
      </w:r>
      <w:r>
        <w:rPr>
          <w:rFonts w:hint="eastAsia" w:ascii="宋体"/>
          <w:kern w:val="0"/>
          <w:sz w:val="32"/>
          <w:szCs w:val="28"/>
          <w:lang w:val="en-US" w:eastAsia="zh-CN"/>
        </w:rPr>
        <w:t>十</w:t>
      </w:r>
      <w:r>
        <w:rPr>
          <w:rFonts w:hint="eastAsia" w:ascii="宋体"/>
          <w:kern w:val="0"/>
          <w:sz w:val="32"/>
          <w:szCs w:val="28"/>
        </w:rPr>
        <w:t>月</w:t>
      </w:r>
    </w:p>
    <w:p>
      <w:pPr>
        <w:spacing w:line="480" w:lineRule="auto"/>
        <w:ind w:firstLine="539"/>
        <w:jc w:val="center"/>
        <w:rPr>
          <w:rFonts w:ascii="仿宋_GB2312" w:hAnsi="宋体" w:eastAsia="仿宋_GB2312"/>
          <w:b/>
          <w:bCs/>
          <w:color w:val="000000"/>
          <w:sz w:val="36"/>
        </w:rPr>
      </w:pPr>
      <w:r>
        <w:rPr>
          <w:rFonts w:hint="eastAsia" w:ascii="仿宋_GB2312" w:hAnsi="宋体" w:eastAsia="仿宋_GB2312"/>
          <w:b/>
          <w:bCs/>
          <w:color w:val="000000"/>
          <w:sz w:val="36"/>
        </w:rPr>
        <w:t>填 写 要 求</w:t>
      </w:r>
    </w:p>
    <w:p>
      <w:pPr>
        <w:spacing w:line="480" w:lineRule="auto"/>
        <w:ind w:firstLine="539"/>
        <w:rPr>
          <w:rFonts w:ascii="仿宋_GB2312" w:hAnsi="宋体" w:eastAsia="仿宋_GB2312"/>
          <w:color w:val="000000"/>
          <w:sz w:val="28"/>
        </w:rPr>
      </w:pPr>
    </w:p>
    <w:p>
      <w:pPr>
        <w:numPr>
          <w:ilvl w:val="0"/>
          <w:numId w:val="1"/>
        </w:numPr>
        <w:spacing w:line="480" w:lineRule="auto"/>
        <w:rPr>
          <w:rFonts w:ascii="仿宋_GB2312" w:hAnsi="宋体" w:eastAsia="仿宋_GB2312"/>
          <w:color w:val="000000"/>
          <w:sz w:val="28"/>
        </w:rPr>
      </w:pPr>
      <w:r>
        <w:rPr>
          <w:rFonts w:hint="eastAsia" w:ascii="仿宋_GB2312" w:hAnsi="宋体" w:eastAsia="仿宋_GB2312"/>
          <w:color w:val="000000"/>
          <w:sz w:val="28"/>
        </w:rPr>
        <w:t>以word文档格式如实填写各项。</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表格文本中外文名词第一次出现时，要写清全称和缩写，再次出现时可以使用缩写。</w:t>
      </w:r>
    </w:p>
    <w:p>
      <w:pPr>
        <w:numPr>
          <w:ilvl w:val="0"/>
          <w:numId w:val="1"/>
        </w:numPr>
        <w:spacing w:line="480" w:lineRule="auto"/>
        <w:ind w:right="25" w:rightChars="12"/>
        <w:rPr>
          <w:rFonts w:ascii="仿宋_GB2312" w:hAnsi="宋体" w:eastAsia="仿宋_GB2312"/>
          <w:color w:val="000000"/>
          <w:sz w:val="28"/>
        </w:rPr>
      </w:pPr>
      <w:r>
        <w:rPr>
          <w:rFonts w:hint="eastAsia" w:ascii="仿宋_GB2312" w:hAnsi="宋体" w:eastAsia="仿宋_GB2312"/>
          <w:color w:val="000000"/>
          <w:sz w:val="28"/>
        </w:rPr>
        <w:t>涉密内容不填写，有可能涉密和不宜大范围公开的内容，请在“其他说明”栏中注明。</w:t>
      </w:r>
    </w:p>
    <w:p>
      <w:pPr>
        <w:rPr>
          <w:color w:val="000000"/>
        </w:rPr>
        <w:sectPr>
          <w:pgSz w:w="11906" w:h="16838"/>
          <w:pgMar w:top="1440" w:right="1800" w:bottom="1440" w:left="1800" w:header="851" w:footer="992" w:gutter="0"/>
          <w:cols w:space="720" w:num="1"/>
          <w:docGrid w:type="lines" w:linePitch="312" w:charSpace="0"/>
        </w:sectPr>
      </w:pPr>
    </w:p>
    <w:p>
      <w:pPr>
        <w:spacing w:line="480" w:lineRule="auto"/>
        <w:ind w:right="-693" w:rightChars="-330"/>
        <w:rPr>
          <w:rFonts w:ascii="仿宋_GB2312" w:hAnsi="宋体" w:eastAsia="仿宋_GB2312"/>
          <w:b/>
          <w:bCs/>
          <w:sz w:val="28"/>
        </w:rPr>
      </w:pPr>
      <w:r>
        <w:rPr>
          <w:rFonts w:hint="eastAsia" w:ascii="仿宋_GB2312" w:hAnsi="宋体" w:eastAsia="仿宋_GB2312"/>
          <w:b/>
          <w:bCs/>
          <w:sz w:val="28"/>
        </w:rPr>
        <w:t>1.课程负责人情况</w:t>
      </w:r>
    </w:p>
    <w:tbl>
      <w:tblPr>
        <w:tblStyle w:val="4"/>
        <w:tblW w:w="841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004"/>
        <w:gridCol w:w="1202"/>
        <w:gridCol w:w="1605"/>
        <w:gridCol w:w="799"/>
        <w:gridCol w:w="1069"/>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02" w:type="dxa"/>
            <w:vMerge w:val="restart"/>
            <w:textDirection w:val="tbRlV"/>
            <w:vAlign w:val="center"/>
          </w:tcPr>
          <w:p>
            <w:pPr>
              <w:adjustRightInd w:val="0"/>
              <w:snapToGrid w:val="0"/>
              <w:spacing w:line="240" w:lineRule="atLeast"/>
              <w:ind w:right="-103" w:rightChars="-49" w:firstLine="120" w:firstLineChars="50"/>
              <w:jc w:val="center"/>
              <w:rPr>
                <w:rFonts w:ascii="仿宋_GB2312" w:hAnsi="宋体" w:eastAsia="仿宋_GB2312"/>
                <w:b/>
                <w:sz w:val="24"/>
              </w:rPr>
            </w:pPr>
            <w:r>
              <w:rPr>
                <w:rFonts w:hint="eastAsia" w:ascii="仿宋_GB2312" w:hAnsi="宋体" w:eastAsia="仿宋_GB2312"/>
                <w:b/>
                <w:sz w:val="24"/>
              </w:rPr>
              <w:t>基本情况</w:t>
            </w:r>
          </w:p>
        </w:tc>
        <w:tc>
          <w:tcPr>
            <w:tcW w:w="2004"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课程负责人</w:t>
            </w:r>
          </w:p>
        </w:tc>
        <w:tc>
          <w:tcPr>
            <w:tcW w:w="1202" w:type="dxa"/>
          </w:tcPr>
          <w:p>
            <w:pPr>
              <w:spacing w:line="480" w:lineRule="auto"/>
              <w:ind w:right="-693" w:rightChars="-330"/>
              <w:jc w:val="both"/>
              <w:rPr>
                <w:rFonts w:hint="eastAsia" w:ascii="仿宋_GB2312" w:hAnsi="宋体" w:eastAsia="仿宋_GB2312"/>
                <w:sz w:val="24"/>
                <w:lang w:val="en-US" w:eastAsia="zh-CN"/>
              </w:rPr>
            </w:pPr>
            <w:r>
              <w:rPr>
                <w:rFonts w:hint="eastAsia" w:ascii="仿宋_GB2312" w:hAnsi="宋体" w:eastAsia="仿宋_GB2312"/>
                <w:sz w:val="24"/>
                <w:lang w:val="en-US" w:eastAsia="zh-CN"/>
              </w:rPr>
              <w:t>吕晓婷</w:t>
            </w:r>
          </w:p>
        </w:tc>
        <w:tc>
          <w:tcPr>
            <w:tcW w:w="1605"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性   别</w:t>
            </w:r>
          </w:p>
        </w:tc>
        <w:tc>
          <w:tcPr>
            <w:tcW w:w="799" w:type="dxa"/>
          </w:tcPr>
          <w:p>
            <w:pPr>
              <w:spacing w:line="480" w:lineRule="auto"/>
              <w:ind w:right="-693" w:rightChars="-330" w:firstLine="210" w:firstLineChars="100"/>
              <w:jc w:val="left"/>
              <w:rPr>
                <w:rFonts w:hint="eastAsia" w:ascii="仿宋_GB2312" w:hAnsi="宋体" w:eastAsia="仿宋_GB2312"/>
                <w:szCs w:val="21"/>
                <w:lang w:val="en-US" w:eastAsia="zh-CN"/>
              </w:rPr>
            </w:pPr>
            <w:r>
              <w:rPr>
                <w:rFonts w:hint="eastAsia" w:ascii="仿宋_GB2312" w:hAnsi="宋体" w:eastAsia="仿宋_GB2312"/>
                <w:szCs w:val="21"/>
                <w:lang w:val="en-US" w:eastAsia="zh-CN"/>
              </w:rPr>
              <w:t>女</w:t>
            </w:r>
          </w:p>
        </w:tc>
        <w:tc>
          <w:tcPr>
            <w:tcW w:w="1069"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出生年月</w:t>
            </w:r>
          </w:p>
        </w:tc>
        <w:tc>
          <w:tcPr>
            <w:tcW w:w="936" w:type="dxa"/>
          </w:tcPr>
          <w:p>
            <w:pPr>
              <w:spacing w:line="480" w:lineRule="auto"/>
              <w:ind w:right="-693" w:rightChars="-330"/>
              <w:rPr>
                <w:rFonts w:hint="default" w:ascii="仿宋_GB2312" w:hAnsi="宋体" w:eastAsia="仿宋_GB2312"/>
                <w:sz w:val="24"/>
                <w:lang w:val="en-US" w:eastAsia="zh-CN"/>
              </w:rPr>
            </w:pPr>
            <w:r>
              <w:rPr>
                <w:rFonts w:hint="eastAsia" w:ascii="仿宋_GB2312" w:hAnsi="宋体" w:eastAsia="仿宋_GB2312"/>
                <w:sz w:val="24"/>
                <w:lang w:val="en-US" w:eastAsia="zh-CN"/>
              </w:rPr>
              <w:t>1987.06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02"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004"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最终学历</w:t>
            </w:r>
          </w:p>
        </w:tc>
        <w:tc>
          <w:tcPr>
            <w:tcW w:w="1202" w:type="dxa"/>
          </w:tcPr>
          <w:p>
            <w:pPr>
              <w:spacing w:line="480" w:lineRule="auto"/>
              <w:ind w:right="-693" w:rightChars="-330"/>
              <w:rPr>
                <w:rFonts w:hint="eastAsia" w:ascii="仿宋_GB2312" w:hAnsi="宋体" w:eastAsia="仿宋_GB2312"/>
                <w:sz w:val="24"/>
                <w:lang w:val="en-US" w:eastAsia="zh-CN"/>
              </w:rPr>
            </w:pPr>
            <w:r>
              <w:rPr>
                <w:rFonts w:hint="eastAsia" w:ascii="仿宋_GB2312" w:hAnsi="宋体" w:eastAsia="仿宋_GB2312"/>
                <w:sz w:val="24"/>
                <w:lang w:val="en-US" w:eastAsia="zh-CN"/>
              </w:rPr>
              <w:t>研究生</w:t>
            </w:r>
          </w:p>
        </w:tc>
        <w:tc>
          <w:tcPr>
            <w:tcW w:w="1605"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专业技术职务</w:t>
            </w:r>
          </w:p>
        </w:tc>
        <w:tc>
          <w:tcPr>
            <w:tcW w:w="2804" w:type="dxa"/>
            <w:gridSpan w:val="3"/>
          </w:tcPr>
          <w:p>
            <w:pPr>
              <w:spacing w:line="480" w:lineRule="auto"/>
              <w:ind w:right="-693" w:rightChars="-330"/>
              <w:rPr>
                <w:rFonts w:hint="eastAsia" w:ascii="仿宋_GB2312" w:hAnsi="宋体" w:eastAsia="仿宋_GB2312"/>
                <w:sz w:val="24"/>
                <w:lang w:val="en-US" w:eastAsia="zh-CN"/>
              </w:rPr>
            </w:pPr>
            <w:r>
              <w:rPr>
                <w:rFonts w:hint="eastAsia" w:ascii="仿宋_GB2312" w:hAnsi="宋体" w:eastAsia="仿宋_GB2312"/>
                <w:sz w:val="24"/>
                <w:lang w:val="en-US" w:eastAsia="zh-CN"/>
              </w:rPr>
              <w:t>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02"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004"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学位</w:t>
            </w:r>
          </w:p>
        </w:tc>
        <w:tc>
          <w:tcPr>
            <w:tcW w:w="1202" w:type="dxa"/>
          </w:tcPr>
          <w:p>
            <w:pPr>
              <w:spacing w:line="480" w:lineRule="auto"/>
              <w:ind w:right="-693" w:rightChars="-330"/>
              <w:rPr>
                <w:rFonts w:hint="eastAsia" w:ascii="仿宋_GB2312" w:hAnsi="宋体" w:eastAsia="仿宋_GB2312"/>
                <w:sz w:val="28"/>
                <w:lang w:val="en-US" w:eastAsia="zh-CN"/>
              </w:rPr>
            </w:pPr>
            <w:r>
              <w:rPr>
                <w:rFonts w:hint="eastAsia" w:ascii="仿宋_GB2312" w:hAnsi="宋体" w:eastAsia="仿宋_GB2312"/>
                <w:sz w:val="24"/>
                <w:lang w:val="en-US" w:eastAsia="zh-CN"/>
              </w:rPr>
              <w:t>硕士</w:t>
            </w:r>
          </w:p>
        </w:tc>
        <w:tc>
          <w:tcPr>
            <w:tcW w:w="1605"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职业资格证书</w:t>
            </w:r>
          </w:p>
        </w:tc>
        <w:tc>
          <w:tcPr>
            <w:tcW w:w="2804" w:type="dxa"/>
            <w:gridSpan w:val="3"/>
          </w:tcPr>
          <w:p>
            <w:pPr>
              <w:spacing w:line="480" w:lineRule="auto"/>
              <w:ind w:right="-693" w:rightChars="-330"/>
              <w:jc w:val="both"/>
              <w:rPr>
                <w:rFonts w:hint="eastAsia" w:ascii="仿宋_GB2312" w:hAnsi="宋体" w:eastAsia="仿宋_GB2312"/>
                <w:sz w:val="24"/>
                <w:lang w:val="en-US" w:eastAsia="zh-CN"/>
              </w:rPr>
            </w:pPr>
            <w:r>
              <w:rPr>
                <w:rFonts w:hint="eastAsia" w:ascii="仿宋_GB2312" w:hAnsi="宋体" w:eastAsia="仿宋_GB2312"/>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02"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004"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所在系部</w:t>
            </w:r>
          </w:p>
        </w:tc>
        <w:tc>
          <w:tcPr>
            <w:tcW w:w="5611" w:type="dxa"/>
            <w:gridSpan w:val="5"/>
            <w:vAlign w:val="top"/>
          </w:tcPr>
          <w:p>
            <w:pPr>
              <w:spacing w:line="480" w:lineRule="auto"/>
              <w:ind w:right="-693" w:rightChars="-33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lang w:eastAsia="zh-CN"/>
              </w:rPr>
              <w:t>基础部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02" w:type="dxa"/>
            <w:vMerge w:val="continue"/>
            <w:vAlign w:val="center"/>
          </w:tcPr>
          <w:p>
            <w:pPr>
              <w:adjustRightInd w:val="0"/>
              <w:snapToGrid w:val="0"/>
              <w:spacing w:line="240" w:lineRule="atLeast"/>
              <w:ind w:right="-103" w:rightChars="-49" w:firstLine="120" w:firstLineChars="50"/>
              <w:rPr>
                <w:rFonts w:ascii="仿宋_GB2312" w:hAnsi="宋体" w:eastAsia="仿宋_GB2312"/>
                <w:b/>
                <w:sz w:val="24"/>
              </w:rPr>
            </w:pPr>
          </w:p>
        </w:tc>
        <w:tc>
          <w:tcPr>
            <w:tcW w:w="2004"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通信地址（邮编）</w:t>
            </w:r>
          </w:p>
        </w:tc>
        <w:tc>
          <w:tcPr>
            <w:tcW w:w="5611" w:type="dxa"/>
            <w:gridSpan w:val="5"/>
            <w:vAlign w:val="top"/>
          </w:tcPr>
          <w:p>
            <w:pPr>
              <w:spacing w:line="480" w:lineRule="auto"/>
              <w:ind w:right="-693" w:rightChars="-330"/>
              <w:rPr>
                <w:rFonts w:hint="default" w:ascii="仿宋_GB2312" w:hAnsi="宋体" w:eastAsia="仿宋_GB2312" w:cs="Times New Roman"/>
                <w:kern w:val="2"/>
                <w:sz w:val="24"/>
                <w:szCs w:val="24"/>
                <w:lang w:val="en-US" w:eastAsia="zh-CN" w:bidi="ar-SA"/>
              </w:rPr>
            </w:pPr>
            <w:r>
              <w:rPr>
                <w:rFonts w:hint="eastAsia" w:ascii="仿宋_GB2312" w:hAnsi="宋体" w:eastAsia="仿宋_GB2312"/>
                <w:sz w:val="24"/>
                <w:lang w:eastAsia="zh-CN"/>
              </w:rPr>
              <w:t>芜湖市三山区浮山路</w:t>
            </w:r>
            <w:r>
              <w:rPr>
                <w:rFonts w:hint="eastAsia" w:ascii="仿宋_GB2312" w:hAnsi="宋体" w:eastAsia="仿宋_GB2312"/>
                <w:sz w:val="24"/>
                <w:lang w:val="en-US" w:eastAsia="zh-CN"/>
              </w:rPr>
              <w:t>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802" w:type="dxa"/>
            <w:vMerge w:val="continue"/>
            <w:vAlign w:val="center"/>
          </w:tcPr>
          <w:p>
            <w:pPr>
              <w:adjustRightInd w:val="0"/>
              <w:snapToGrid w:val="0"/>
              <w:spacing w:line="240" w:lineRule="atLeast"/>
              <w:ind w:right="-103" w:rightChars="-49" w:firstLine="120" w:firstLineChars="50"/>
              <w:rPr>
                <w:rFonts w:ascii="仿宋_GB2312" w:hAnsi="宋体" w:eastAsia="仿宋_GB2312"/>
                <w:sz w:val="24"/>
              </w:rPr>
            </w:pPr>
          </w:p>
        </w:tc>
        <w:tc>
          <w:tcPr>
            <w:tcW w:w="2004" w:type="dxa"/>
          </w:tcPr>
          <w:p>
            <w:pPr>
              <w:spacing w:line="480" w:lineRule="auto"/>
              <w:ind w:right="-693" w:rightChars="-330"/>
              <w:rPr>
                <w:rFonts w:ascii="仿宋_GB2312" w:hAnsi="宋体" w:eastAsia="仿宋_GB2312"/>
                <w:sz w:val="24"/>
              </w:rPr>
            </w:pPr>
            <w:r>
              <w:rPr>
                <w:rFonts w:hint="eastAsia" w:ascii="仿宋_GB2312" w:hAnsi="宋体" w:eastAsia="仿宋_GB2312"/>
                <w:sz w:val="24"/>
              </w:rPr>
              <w:t>教学与技术专长</w:t>
            </w:r>
          </w:p>
        </w:tc>
        <w:tc>
          <w:tcPr>
            <w:tcW w:w="5611" w:type="dxa"/>
            <w:gridSpan w:val="5"/>
            <w:vAlign w:val="top"/>
          </w:tcPr>
          <w:p>
            <w:pPr>
              <w:spacing w:line="480" w:lineRule="auto"/>
              <w:ind w:right="-693" w:rightChars="-330"/>
              <w:rPr>
                <w:rFonts w:hint="default" w:ascii="仿宋_GB2312" w:hAnsi="宋体" w:eastAsia="仿宋_GB2312" w:cs="Times New Roman"/>
                <w:kern w:val="2"/>
                <w:sz w:val="24"/>
                <w:szCs w:val="24"/>
                <w:lang w:val="en-US" w:eastAsia="zh-CN" w:bidi="ar-SA"/>
              </w:rPr>
            </w:pPr>
            <w:r>
              <w:rPr>
                <w:rFonts w:hint="eastAsia" w:ascii="仿宋_GB2312" w:hAnsi="宋体" w:eastAsia="仿宋_GB2312"/>
                <w:sz w:val="24"/>
                <w:lang w:val="en-US" w:eastAsia="zh-CN"/>
              </w:rPr>
              <w:t>理论教学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3" w:hRule="atLeast"/>
        </w:trPr>
        <w:tc>
          <w:tcPr>
            <w:tcW w:w="802" w:type="dxa"/>
            <w:textDirection w:val="tbRlV"/>
            <w:vAlign w:val="center"/>
          </w:tcPr>
          <w:p>
            <w:pPr>
              <w:adjustRightInd w:val="0"/>
              <w:snapToGrid w:val="0"/>
              <w:spacing w:line="240" w:lineRule="atLeast"/>
              <w:ind w:left="113" w:right="-281" w:rightChars="-134"/>
              <w:jc w:val="center"/>
              <w:rPr>
                <w:rFonts w:ascii="仿宋_GB2312" w:hAnsi="宋体" w:eastAsia="仿宋_GB2312"/>
                <w:sz w:val="24"/>
              </w:rPr>
            </w:pPr>
            <w:r>
              <w:rPr>
                <w:rFonts w:hint="eastAsia" w:ascii="仿宋_GB2312" w:hAnsi="宋体" w:eastAsia="仿宋_GB2312"/>
                <w:b/>
                <w:sz w:val="24"/>
              </w:rPr>
              <w:t>工作简历</w:t>
            </w:r>
          </w:p>
        </w:tc>
        <w:tc>
          <w:tcPr>
            <w:tcW w:w="7615" w:type="dxa"/>
            <w:gridSpan w:val="6"/>
          </w:tcPr>
          <w:p>
            <w:pPr>
              <w:ind w:right="-107" w:rightChars="-51"/>
              <w:rPr>
                <w:rFonts w:hint="eastAsia" w:ascii="仿宋_GB2312" w:hAnsi="宋体" w:eastAsia="仿宋_GB2312"/>
              </w:rPr>
            </w:pPr>
            <w:r>
              <w:rPr>
                <w:rFonts w:hint="eastAsia" w:ascii="仿宋_GB2312" w:hAnsi="宋体" w:eastAsia="仿宋_GB2312"/>
              </w:rPr>
              <w:t>（含在行业、企业的工作经历和当时从事工作的专业领域及所负责任）：</w:t>
            </w:r>
          </w:p>
          <w:p>
            <w:pPr>
              <w:ind w:right="-107" w:rightChars="-51" w:firstLine="420" w:firstLineChars="200"/>
              <w:rPr>
                <w:rFonts w:hint="eastAsia" w:ascii="仿宋_GB2312" w:hAnsi="宋体" w:eastAsia="仿宋_GB2312"/>
                <w:lang w:val="en-US" w:eastAsia="zh-CN"/>
              </w:rPr>
            </w:pPr>
            <w:r>
              <w:rPr>
                <w:rFonts w:hint="eastAsia" w:ascii="仿宋_GB2312" w:hAnsi="宋体" w:eastAsia="仿宋_GB2312"/>
                <w:lang w:val="en-US" w:eastAsia="zh-CN"/>
              </w:rPr>
              <w:t>吕晓婷，女，安徽淮南人，2015年7月毕业于安徽师范大学，获法学硕士学位。2015年5月入职安徽扬子职业技术学院任教至今，主要担任《毛泽东思想和中国特色社会主义理论体系概论课程》、《思想道德修养与法律基础》、《形势与政策》三门课程的授课老师，并且兼任2015级机电一体化技术专业辅导员。2015年6开始一直担任院团委青年志愿者协会指导老师，2018年9月开始担任学院宣传部门稿件的审核工作，2019年1月获校级青年教师“四有好老师”演讲比赛三等奖。</w:t>
            </w:r>
          </w:p>
          <w:p>
            <w:pPr>
              <w:ind w:right="-107" w:rightChars="-51"/>
              <w:rPr>
                <w:rFonts w:hint="default" w:ascii="仿宋_GB2312" w:hAnsi="宋体" w:eastAsia="仿宋_GB2312"/>
                <w:lang w:val="en-US" w:eastAsia="zh-CN"/>
              </w:rPr>
            </w:pPr>
          </w:p>
        </w:tc>
      </w:tr>
    </w:tbl>
    <w:p/>
    <w:tbl>
      <w:tblPr>
        <w:tblStyle w:val="4"/>
        <w:tblW w:w="84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7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18" w:hRule="atLeast"/>
        </w:trPr>
        <w:tc>
          <w:tcPr>
            <w:tcW w:w="802" w:type="dxa"/>
            <w:textDirection w:val="tbRlV"/>
            <w:vAlign w:val="center"/>
          </w:tcPr>
          <w:p>
            <w:pPr>
              <w:adjustRightInd w:val="0"/>
              <w:snapToGrid w:val="0"/>
              <w:spacing w:line="240" w:lineRule="atLeast"/>
              <w:ind w:left="113" w:right="-281" w:rightChars="-134"/>
              <w:jc w:val="center"/>
              <w:rPr>
                <w:rFonts w:asciiTheme="majorEastAsia" w:hAnsiTheme="majorEastAsia" w:eastAsiaTheme="majorEastAsia"/>
                <w:sz w:val="24"/>
              </w:rPr>
            </w:pPr>
            <w:r>
              <w:rPr>
                <w:rFonts w:hint="eastAsia" w:asciiTheme="majorEastAsia" w:hAnsiTheme="majorEastAsia" w:eastAsiaTheme="majorEastAsia"/>
                <w:b/>
                <w:sz w:val="24"/>
              </w:rPr>
              <w:t>教学情况</w:t>
            </w:r>
          </w:p>
        </w:tc>
        <w:tc>
          <w:tcPr>
            <w:tcW w:w="7617" w:type="dxa"/>
          </w:tcPr>
          <w:p>
            <w:pPr>
              <w:spacing w:line="400" w:lineRule="exact"/>
              <w:rPr>
                <w:rFonts w:hint="eastAsia" w:asciiTheme="majorEastAsia" w:hAnsiTheme="majorEastAsia" w:eastAsiaTheme="majorEastAsia"/>
              </w:rPr>
            </w:pPr>
            <w:r>
              <w:rPr>
                <w:rFonts w:hint="eastAsia" w:asciiTheme="majorEastAsia" w:hAnsiTheme="majorEastAsia" w:eastAsiaTheme="majorEastAsia"/>
              </w:rPr>
              <w:t>课程负责人近三年承担本课程情况；近五年来承担的主要教学工作（含课程名称、课程类别、周学时；届数及学生总人数）（不超过五项）；主持的教学研究课题（含课题名称、来源、年限、成果）（不超过五项）；作为第一署名人在国内外公开发行的刊物上发表的教学研究论文（含题目、刊物名称、时间）获得的教学表彰</w:t>
            </w:r>
            <w:r>
              <w:rPr>
                <w:rFonts w:asciiTheme="majorEastAsia" w:hAnsiTheme="majorEastAsia" w:eastAsiaTheme="majorEastAsia"/>
              </w:rPr>
              <w:t>/</w:t>
            </w:r>
            <w:r>
              <w:rPr>
                <w:rFonts w:hint="eastAsia" w:asciiTheme="majorEastAsia" w:hAnsiTheme="majorEastAsia" w:eastAsiaTheme="majorEastAsia"/>
              </w:rPr>
              <w:t>奖励</w:t>
            </w:r>
          </w:p>
          <w:p>
            <w:pPr>
              <w:spacing w:line="400" w:lineRule="exact"/>
              <w:rPr>
                <w:rFonts w:hint="eastAsia" w:asciiTheme="majorEastAsia" w:hAnsiTheme="majorEastAsia" w:eastAsiaTheme="majorEastAsia"/>
              </w:rPr>
            </w:pPr>
          </w:p>
          <w:p>
            <w:pPr>
              <w:ind w:right="-107" w:rightChars="-51" w:firstLine="843" w:firstLineChars="400"/>
              <w:rPr>
                <w:rFonts w:hint="eastAsia" w:ascii="仿宋_GB2312" w:hAnsi="宋体" w:eastAsia="仿宋_GB2312"/>
                <w:b/>
                <w:bCs/>
                <w:lang w:val="en-US" w:eastAsia="zh-CN"/>
              </w:rPr>
            </w:pPr>
            <w:r>
              <w:rPr>
                <w:rFonts w:hint="eastAsia" w:ascii="仿宋_GB2312" w:hAnsi="宋体" w:eastAsia="仿宋_GB2312"/>
                <w:b/>
                <w:bCs/>
                <w:lang w:val="en-US" w:eastAsia="zh-CN"/>
              </w:rPr>
              <w:t>课程名称          课程类别      周学时      届数     学生总人数</w:t>
            </w:r>
          </w:p>
          <w:p>
            <w:pPr>
              <w:spacing w:line="240" w:lineRule="auto"/>
              <w:ind w:right="-107" w:rightChars="-51" w:firstLine="210" w:firstLineChars="100"/>
              <w:rPr>
                <w:rFonts w:hint="eastAsia" w:ascii="仿宋_GB2312" w:hAnsi="宋体" w:eastAsia="仿宋_GB2312"/>
                <w:lang w:val="en-US" w:eastAsia="zh-CN"/>
              </w:rPr>
            </w:pPr>
            <w:r>
              <w:rPr>
                <w:rFonts w:hint="eastAsia" w:ascii="仿宋_GB2312" w:hAnsi="宋体" w:eastAsia="仿宋_GB2312"/>
                <w:lang w:val="en-US" w:eastAsia="zh-CN"/>
              </w:rPr>
              <w:t>毛泽东思想和中国特色</w:t>
            </w:r>
          </w:p>
          <w:p>
            <w:pPr>
              <w:spacing w:line="240" w:lineRule="auto"/>
              <w:ind w:right="-107" w:rightChars="-51"/>
              <w:rPr>
                <w:rFonts w:hint="eastAsia" w:ascii="仿宋_GB2312" w:hAnsi="宋体" w:eastAsia="仿宋_GB2312"/>
                <w:lang w:val="en-US" w:eastAsia="zh-CN"/>
              </w:rPr>
            </w:pPr>
            <w:r>
              <w:rPr>
                <w:rFonts w:hint="eastAsia" w:ascii="仿宋_GB2312" w:hAnsi="宋体" w:eastAsia="仿宋_GB2312"/>
                <w:lang w:val="en-US" w:eastAsia="zh-CN"/>
              </w:rPr>
              <w:t>社会主义理论体系概论     公共基础课        2       2015届       481</w:t>
            </w:r>
          </w:p>
          <w:p>
            <w:pPr>
              <w:spacing w:line="240" w:lineRule="auto"/>
              <w:ind w:right="-107" w:rightChars="-51" w:firstLine="210" w:firstLineChars="100"/>
              <w:rPr>
                <w:rFonts w:hint="eastAsia" w:ascii="仿宋_GB2312" w:hAnsi="宋体" w:eastAsia="仿宋_GB2312"/>
                <w:lang w:val="en-US" w:eastAsia="zh-CN"/>
              </w:rPr>
            </w:pPr>
            <w:r>
              <w:rPr>
                <w:rFonts w:hint="eastAsia" w:ascii="仿宋_GB2312" w:hAnsi="宋体" w:eastAsia="仿宋_GB2312"/>
                <w:lang w:val="en-US" w:eastAsia="zh-CN"/>
              </w:rPr>
              <w:t>毛泽东思想和中国特色</w:t>
            </w:r>
          </w:p>
          <w:p>
            <w:pPr>
              <w:ind w:right="-107" w:rightChars="-51"/>
              <w:rPr>
                <w:rFonts w:hint="default" w:ascii="仿宋_GB2312" w:hAnsi="宋体" w:eastAsia="仿宋_GB2312"/>
                <w:lang w:val="en-US" w:eastAsia="zh-CN"/>
              </w:rPr>
            </w:pPr>
            <w:r>
              <w:rPr>
                <w:rFonts w:hint="eastAsia" w:ascii="仿宋_GB2312" w:hAnsi="宋体" w:eastAsia="仿宋_GB2312"/>
                <w:lang w:val="en-US" w:eastAsia="zh-CN"/>
              </w:rPr>
              <w:t>社会主义理论体系概论     公共基础课        2       2016届       576</w:t>
            </w:r>
          </w:p>
          <w:p>
            <w:pPr>
              <w:ind w:right="-107" w:rightChars="-51" w:firstLine="210" w:firstLineChars="100"/>
              <w:rPr>
                <w:rFonts w:hint="eastAsia" w:ascii="仿宋_GB2312" w:hAnsi="宋体" w:eastAsia="仿宋_GB2312"/>
                <w:lang w:val="en-US" w:eastAsia="zh-CN"/>
              </w:rPr>
            </w:pPr>
            <w:r>
              <w:rPr>
                <w:rFonts w:hint="eastAsia" w:ascii="仿宋_GB2312" w:hAnsi="宋体" w:eastAsia="仿宋_GB2312"/>
                <w:lang w:val="en-US" w:eastAsia="zh-CN"/>
              </w:rPr>
              <w:t>毛泽东思想和中国特色</w:t>
            </w:r>
          </w:p>
          <w:p>
            <w:pPr>
              <w:ind w:right="-107" w:rightChars="-51"/>
              <w:rPr>
                <w:rFonts w:hint="default" w:ascii="仿宋_GB2312" w:hAnsi="宋体" w:eastAsia="仿宋_GB2312"/>
                <w:lang w:val="en-US" w:eastAsia="zh-CN"/>
              </w:rPr>
            </w:pPr>
            <w:r>
              <w:rPr>
                <w:rFonts w:hint="eastAsia" w:ascii="仿宋_GB2312" w:hAnsi="宋体" w:eastAsia="仿宋_GB2312"/>
                <w:lang w:val="en-US" w:eastAsia="zh-CN"/>
              </w:rPr>
              <w:t>社会主义理论体系概论     公共基础课        2       2017届       369</w:t>
            </w:r>
          </w:p>
          <w:p>
            <w:pPr>
              <w:ind w:right="-107" w:rightChars="-51" w:firstLine="210" w:firstLineChars="100"/>
              <w:rPr>
                <w:rFonts w:hint="eastAsia" w:ascii="仿宋_GB2312" w:hAnsi="宋体" w:eastAsia="仿宋_GB2312"/>
                <w:lang w:val="en-US" w:eastAsia="zh-CN"/>
              </w:rPr>
            </w:pPr>
            <w:r>
              <w:rPr>
                <w:rFonts w:hint="eastAsia" w:ascii="仿宋_GB2312" w:hAnsi="宋体" w:eastAsia="仿宋_GB2312"/>
                <w:lang w:val="en-US" w:eastAsia="zh-CN"/>
              </w:rPr>
              <w:t>毛泽东思想和中国特色</w:t>
            </w:r>
          </w:p>
          <w:p>
            <w:pPr>
              <w:ind w:right="-107" w:rightChars="-51"/>
              <w:rPr>
                <w:rFonts w:hint="default" w:ascii="仿宋_GB2312" w:hAnsi="宋体" w:eastAsia="仿宋_GB2312"/>
                <w:lang w:val="en-US" w:eastAsia="zh-CN"/>
              </w:rPr>
            </w:pPr>
            <w:r>
              <w:rPr>
                <w:rFonts w:hint="eastAsia" w:ascii="仿宋_GB2312" w:hAnsi="宋体" w:eastAsia="仿宋_GB2312"/>
                <w:lang w:val="en-US" w:eastAsia="zh-CN"/>
              </w:rPr>
              <w:t>社会主义理论体系概论     公共基础课        2       2018届       368</w:t>
            </w:r>
          </w:p>
          <w:p>
            <w:pPr>
              <w:ind w:right="-107" w:rightChars="-51" w:firstLine="210" w:firstLineChars="100"/>
              <w:rPr>
                <w:rFonts w:hint="eastAsia" w:ascii="仿宋_GB2312" w:hAnsi="宋体" w:eastAsia="仿宋_GB2312"/>
                <w:lang w:val="en-US" w:eastAsia="zh-CN"/>
              </w:rPr>
            </w:pPr>
            <w:r>
              <w:rPr>
                <w:rFonts w:hint="eastAsia" w:ascii="仿宋_GB2312" w:hAnsi="宋体" w:eastAsia="仿宋_GB2312"/>
                <w:lang w:val="en-US" w:eastAsia="zh-CN"/>
              </w:rPr>
              <w:t>毛泽东思想和中国特色</w:t>
            </w:r>
          </w:p>
          <w:p>
            <w:pPr>
              <w:spacing w:line="400" w:lineRule="exact"/>
              <w:rPr>
                <w:rFonts w:hint="default" w:asciiTheme="majorEastAsia" w:hAnsiTheme="majorEastAsia" w:eastAsiaTheme="majorEastAsia"/>
                <w:lang w:val="en-US"/>
              </w:rPr>
            </w:pPr>
            <w:r>
              <w:rPr>
                <w:rFonts w:hint="eastAsia" w:ascii="仿宋_GB2312" w:hAnsi="宋体" w:eastAsia="仿宋_GB2312"/>
                <w:lang w:val="en-US" w:eastAsia="zh-CN"/>
              </w:rPr>
              <w:t>社会主义理论体系概论     公共基础课        2       2019届       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trPr>
        <w:tc>
          <w:tcPr>
            <w:tcW w:w="802" w:type="dxa"/>
            <w:textDirection w:val="tbRlV"/>
            <w:vAlign w:val="center"/>
          </w:tcPr>
          <w:p>
            <w:pPr>
              <w:adjustRightInd w:val="0"/>
              <w:snapToGrid w:val="0"/>
              <w:spacing w:line="240" w:lineRule="atLeast"/>
              <w:ind w:left="113" w:right="-693" w:rightChars="-330"/>
              <w:jc w:val="center"/>
              <w:rPr>
                <w:rFonts w:asciiTheme="majorEastAsia" w:hAnsiTheme="majorEastAsia" w:eastAsiaTheme="majorEastAsia"/>
                <w:sz w:val="24"/>
              </w:rPr>
            </w:pPr>
            <w:r>
              <w:rPr>
                <w:rFonts w:hint="eastAsia" w:asciiTheme="majorEastAsia" w:hAnsiTheme="majorEastAsia" w:eastAsiaTheme="majorEastAsia"/>
                <w:b/>
                <w:sz w:val="24"/>
              </w:rPr>
              <w:t>技术服务</w:t>
            </w:r>
          </w:p>
        </w:tc>
        <w:tc>
          <w:tcPr>
            <w:tcW w:w="7617" w:type="dxa"/>
          </w:tcPr>
          <w:p>
            <w:pPr>
              <w:spacing w:line="400" w:lineRule="exact"/>
              <w:rPr>
                <w:rFonts w:asciiTheme="majorEastAsia" w:hAnsiTheme="majorEastAsia" w:eastAsiaTheme="majorEastAsia"/>
              </w:rPr>
            </w:pPr>
            <w:r>
              <w:rPr>
                <w:rFonts w:hint="eastAsia" w:asciiTheme="majorEastAsia" w:hAnsiTheme="majorEastAsia" w:eastAsiaTheme="majorEastAsia"/>
              </w:rPr>
              <w:t>近五年来承担的技术开发与服务（培训）项目及效果（含项目/培训名称、来源、年限、本人所起作用）（不超过五项）；在国内外公开发行刊物上发表的专业技术论文（含题目、刊物名称、署名次序与时间）；获得的表彰</w:t>
            </w:r>
            <w:r>
              <w:rPr>
                <w:rFonts w:asciiTheme="majorEastAsia" w:hAnsiTheme="majorEastAsia" w:eastAsiaTheme="majorEastAsia"/>
              </w:rPr>
              <w:t>/</w:t>
            </w:r>
            <w:r>
              <w:rPr>
                <w:rFonts w:hint="eastAsia" w:asciiTheme="majorEastAsia" w:hAnsiTheme="majorEastAsia" w:eastAsiaTheme="majorEastAsia"/>
              </w:rPr>
              <w:t>奖励或获得的专利（含奖项名称、授予单位、署名次序、时间）</w:t>
            </w:r>
          </w:p>
        </w:tc>
      </w:tr>
    </w:tbl>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r>
        <w:rPr>
          <w:rFonts w:ascii="仿宋_GB2312" w:hAnsi="宋体" w:eastAsia="仿宋_GB2312"/>
          <w:b/>
          <w:bCs/>
          <w:sz w:val="28"/>
        </w:rPr>
        <w:t>2</w:t>
      </w:r>
      <w:r>
        <w:rPr>
          <w:rFonts w:hint="eastAsia" w:ascii="仿宋_GB2312" w:hAnsi="宋体" w:eastAsia="仿宋_GB2312"/>
          <w:b/>
          <w:bCs/>
          <w:sz w:val="28"/>
        </w:rPr>
        <w:t>．课程团队</w:t>
      </w:r>
    </w:p>
    <w:tbl>
      <w:tblPr>
        <w:tblStyle w:val="4"/>
        <w:tblW w:w="83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763"/>
        <w:gridCol w:w="522"/>
        <w:gridCol w:w="741"/>
        <w:gridCol w:w="864"/>
        <w:gridCol w:w="655"/>
        <w:gridCol w:w="1418"/>
        <w:gridCol w:w="993"/>
        <w:gridCol w:w="1008"/>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690" w:type="dxa"/>
            <w:vMerge w:val="restart"/>
            <w:vAlign w:val="center"/>
          </w:tcPr>
          <w:p>
            <w:pPr>
              <w:adjustRightInd w:val="0"/>
              <w:snapToGrid w:val="0"/>
              <w:spacing w:line="240" w:lineRule="atLeast"/>
              <w:rPr>
                <w:rFonts w:ascii="仿宋_GB2312" w:hAnsi="宋体" w:eastAsia="仿宋_GB2312"/>
                <w:b/>
                <w:sz w:val="24"/>
              </w:rPr>
            </w:pPr>
            <w:r>
              <w:rPr>
                <w:rFonts w:hint="eastAsia" w:ascii="仿宋_GB2312" w:hAnsi="宋体" w:eastAsia="仿宋_GB2312"/>
                <w:b/>
                <w:sz w:val="24"/>
              </w:rPr>
              <w:t>课程团队结构（含兼职教师）</w:t>
            </w:r>
          </w:p>
        </w:tc>
        <w:tc>
          <w:tcPr>
            <w:tcW w:w="763" w:type="dxa"/>
            <w:vAlign w:val="center"/>
          </w:tcPr>
          <w:p>
            <w:pPr>
              <w:jc w:val="center"/>
              <w:rPr>
                <w:rFonts w:ascii="仿宋_GB2312" w:hAnsi="宋体" w:eastAsia="仿宋_GB2312"/>
                <w:szCs w:val="21"/>
              </w:rPr>
            </w:pPr>
            <w:r>
              <w:rPr>
                <w:rFonts w:hint="eastAsia" w:ascii="仿宋_GB2312" w:hAnsi="宋体" w:eastAsia="仿宋_GB2312"/>
                <w:szCs w:val="21"/>
              </w:rPr>
              <w:t>姓名</w:t>
            </w:r>
          </w:p>
        </w:tc>
        <w:tc>
          <w:tcPr>
            <w:tcW w:w="522" w:type="dxa"/>
            <w:vAlign w:val="center"/>
          </w:tcPr>
          <w:p>
            <w:pPr>
              <w:jc w:val="center"/>
              <w:rPr>
                <w:rFonts w:ascii="仿宋_GB2312" w:hAnsi="宋体" w:eastAsia="仿宋_GB2312"/>
                <w:szCs w:val="21"/>
              </w:rPr>
            </w:pPr>
            <w:r>
              <w:rPr>
                <w:rFonts w:hint="eastAsia" w:ascii="仿宋_GB2312" w:hAnsi="宋体" w:eastAsia="仿宋_GB2312"/>
                <w:szCs w:val="21"/>
              </w:rPr>
              <w:t>性别</w:t>
            </w:r>
          </w:p>
        </w:tc>
        <w:tc>
          <w:tcPr>
            <w:tcW w:w="741" w:type="dxa"/>
            <w:vAlign w:val="center"/>
          </w:tcPr>
          <w:p>
            <w:pPr>
              <w:jc w:val="center"/>
              <w:rPr>
                <w:rFonts w:ascii="仿宋_GB2312" w:hAnsi="宋体" w:eastAsia="仿宋_GB2312"/>
                <w:szCs w:val="21"/>
              </w:rPr>
            </w:pPr>
            <w:r>
              <w:rPr>
                <w:rFonts w:hint="eastAsia" w:ascii="仿宋_GB2312" w:hAnsi="宋体" w:eastAsia="仿宋_GB2312"/>
                <w:szCs w:val="21"/>
              </w:rPr>
              <w:t>出生</w:t>
            </w:r>
          </w:p>
          <w:p>
            <w:pPr>
              <w:jc w:val="center"/>
              <w:rPr>
                <w:rFonts w:ascii="仿宋_GB2312" w:hAnsi="宋体" w:eastAsia="仿宋_GB2312"/>
                <w:szCs w:val="21"/>
              </w:rPr>
            </w:pPr>
            <w:r>
              <w:rPr>
                <w:rFonts w:hint="eastAsia" w:ascii="仿宋_GB2312" w:hAnsi="宋体" w:eastAsia="仿宋_GB2312"/>
                <w:szCs w:val="21"/>
              </w:rPr>
              <w:t>年月</w:t>
            </w:r>
          </w:p>
        </w:tc>
        <w:tc>
          <w:tcPr>
            <w:tcW w:w="864" w:type="dxa"/>
            <w:vAlign w:val="center"/>
          </w:tcPr>
          <w:p>
            <w:pPr>
              <w:jc w:val="center"/>
              <w:rPr>
                <w:rFonts w:ascii="仿宋_GB2312" w:hAnsi="宋体" w:eastAsia="仿宋_GB2312"/>
                <w:szCs w:val="21"/>
              </w:rPr>
            </w:pPr>
            <w:r>
              <w:rPr>
                <w:rFonts w:hint="eastAsia" w:ascii="仿宋_GB2312" w:hAnsi="宋体" w:eastAsia="仿宋_GB2312"/>
                <w:szCs w:val="21"/>
              </w:rPr>
              <w:t>专业技术职务</w:t>
            </w:r>
          </w:p>
        </w:tc>
        <w:tc>
          <w:tcPr>
            <w:tcW w:w="655" w:type="dxa"/>
            <w:vAlign w:val="center"/>
          </w:tcPr>
          <w:p>
            <w:pPr>
              <w:jc w:val="center"/>
              <w:rPr>
                <w:rFonts w:ascii="仿宋_GB2312" w:hAnsi="宋体" w:eastAsia="仿宋_GB2312"/>
                <w:szCs w:val="21"/>
              </w:rPr>
            </w:pPr>
            <w:r>
              <w:rPr>
                <w:rFonts w:hint="eastAsia" w:ascii="仿宋_GB2312" w:hAnsi="宋体" w:eastAsia="仿宋_GB2312"/>
                <w:szCs w:val="21"/>
              </w:rPr>
              <w:t>职业资格</w:t>
            </w:r>
          </w:p>
          <w:p>
            <w:pPr>
              <w:jc w:val="center"/>
              <w:rPr>
                <w:rFonts w:ascii="仿宋_GB2312" w:hAnsi="宋体" w:eastAsia="仿宋_GB2312"/>
                <w:szCs w:val="21"/>
              </w:rPr>
            </w:pPr>
            <w:r>
              <w:rPr>
                <w:rFonts w:hint="eastAsia" w:ascii="仿宋_GB2312" w:hAnsi="宋体" w:eastAsia="仿宋_GB2312"/>
                <w:szCs w:val="21"/>
              </w:rPr>
              <w:t>证书</w:t>
            </w:r>
          </w:p>
        </w:tc>
        <w:tc>
          <w:tcPr>
            <w:tcW w:w="1418" w:type="dxa"/>
            <w:vAlign w:val="center"/>
          </w:tcPr>
          <w:p>
            <w:pPr>
              <w:jc w:val="center"/>
              <w:rPr>
                <w:rFonts w:ascii="仿宋_GB2312" w:hAnsi="宋体" w:eastAsia="仿宋_GB2312"/>
                <w:szCs w:val="21"/>
              </w:rPr>
            </w:pPr>
            <w:r>
              <w:rPr>
                <w:rFonts w:hint="eastAsia" w:ascii="仿宋_GB2312" w:hAnsi="宋体" w:eastAsia="仿宋_GB2312"/>
                <w:szCs w:val="21"/>
              </w:rPr>
              <w:t>专业</w:t>
            </w:r>
          </w:p>
          <w:p>
            <w:pPr>
              <w:jc w:val="center"/>
              <w:rPr>
                <w:rFonts w:ascii="仿宋_GB2312" w:hAnsi="宋体" w:eastAsia="仿宋_GB2312"/>
                <w:szCs w:val="21"/>
              </w:rPr>
            </w:pPr>
            <w:r>
              <w:rPr>
                <w:rFonts w:hint="eastAsia" w:ascii="仿宋_GB2312" w:hAnsi="宋体" w:eastAsia="仿宋_GB2312"/>
                <w:szCs w:val="21"/>
              </w:rPr>
              <w:t>领域</w:t>
            </w:r>
          </w:p>
        </w:tc>
        <w:tc>
          <w:tcPr>
            <w:tcW w:w="993" w:type="dxa"/>
            <w:vAlign w:val="center"/>
          </w:tcPr>
          <w:p>
            <w:pPr>
              <w:jc w:val="center"/>
              <w:rPr>
                <w:rFonts w:hint="eastAsia" w:ascii="仿宋_GB2312" w:hAnsi="宋体" w:eastAsia="仿宋_GB2312"/>
                <w:szCs w:val="21"/>
              </w:rPr>
            </w:pPr>
            <w:r>
              <w:rPr>
                <w:rFonts w:hint="eastAsia" w:ascii="仿宋_GB2312" w:hAnsi="宋体" w:eastAsia="仿宋_GB2312"/>
                <w:szCs w:val="21"/>
              </w:rPr>
              <w:t>在教学中承担的</w:t>
            </w:r>
          </w:p>
          <w:p>
            <w:pPr>
              <w:jc w:val="center"/>
              <w:rPr>
                <w:rFonts w:asciiTheme="majorEastAsia" w:hAnsiTheme="majorEastAsia" w:eastAsiaTheme="majorEastAsia"/>
                <w:szCs w:val="21"/>
              </w:rPr>
            </w:pPr>
            <w:r>
              <w:rPr>
                <w:rFonts w:hint="eastAsia" w:ascii="仿宋_GB2312" w:hAnsi="宋体" w:eastAsia="仿宋_GB2312"/>
                <w:szCs w:val="21"/>
              </w:rPr>
              <w:t>工作</w:t>
            </w:r>
          </w:p>
        </w:tc>
        <w:tc>
          <w:tcPr>
            <w:tcW w:w="1008" w:type="dxa"/>
            <w:vAlign w:val="center"/>
          </w:tcPr>
          <w:p>
            <w:pPr>
              <w:jc w:val="center"/>
              <w:rPr>
                <w:rFonts w:asciiTheme="majorEastAsia" w:hAnsiTheme="majorEastAsia" w:eastAsiaTheme="majorEastAsia"/>
                <w:szCs w:val="21"/>
              </w:rPr>
            </w:pPr>
            <w:r>
              <w:rPr>
                <w:rFonts w:hint="eastAsia" w:ascii="仿宋_GB2312" w:hAnsi="宋体" w:eastAsia="仿宋_GB2312"/>
                <w:szCs w:val="21"/>
              </w:rPr>
              <w:t>兼职教师在行业企业中所任职务</w:t>
            </w:r>
          </w:p>
        </w:tc>
        <w:tc>
          <w:tcPr>
            <w:tcW w:w="740" w:type="dxa"/>
            <w:vAlign w:val="center"/>
          </w:tcPr>
          <w:p>
            <w:pPr>
              <w:spacing w:line="480" w:lineRule="auto"/>
              <w:jc w:val="center"/>
              <w:rPr>
                <w:rFonts w:ascii="仿宋_GB2312" w:hAnsi="宋体" w:eastAsia="仿宋_GB2312"/>
                <w:szCs w:val="21"/>
              </w:rPr>
            </w:pPr>
            <w:r>
              <w:rPr>
                <w:rFonts w:hint="eastAsia" w:ascii="仿宋_GB2312" w:hAnsi="宋体" w:eastAsia="仿宋_GB231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7" w:hRule="atLeast"/>
        </w:trPr>
        <w:tc>
          <w:tcPr>
            <w:tcW w:w="690" w:type="dxa"/>
            <w:vMerge w:val="continue"/>
          </w:tcPr>
          <w:p>
            <w:pPr>
              <w:spacing w:line="480" w:lineRule="auto"/>
              <w:ind w:right="-693" w:rightChars="-330"/>
              <w:rPr>
                <w:rFonts w:ascii="仿宋_GB2312" w:hAnsi="宋体" w:eastAsia="仿宋_GB2312"/>
                <w:sz w:val="28"/>
              </w:rPr>
            </w:pPr>
          </w:p>
        </w:tc>
        <w:tc>
          <w:tcPr>
            <w:tcW w:w="763"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吕晓婷</w:t>
            </w:r>
          </w:p>
        </w:tc>
        <w:tc>
          <w:tcPr>
            <w:tcW w:w="522"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女</w:t>
            </w:r>
          </w:p>
        </w:tc>
        <w:tc>
          <w:tcPr>
            <w:tcW w:w="741"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1987.</w:t>
            </w:r>
          </w:p>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06</w:t>
            </w:r>
          </w:p>
        </w:tc>
        <w:tc>
          <w:tcPr>
            <w:tcW w:w="864"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讲师</w:t>
            </w:r>
          </w:p>
        </w:tc>
        <w:tc>
          <w:tcPr>
            <w:tcW w:w="655"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无</w:t>
            </w:r>
          </w:p>
        </w:tc>
        <w:tc>
          <w:tcPr>
            <w:tcW w:w="1418" w:type="dxa"/>
          </w:tcPr>
          <w:p>
            <w:pPr>
              <w:keepNext w:val="0"/>
              <w:keepLines w:val="0"/>
              <w:pageBreakBefore w:val="0"/>
              <w:widowControl w:val="0"/>
              <w:kinsoku/>
              <w:wordWrap/>
              <w:overflowPunct/>
              <w:topLinePunct w:val="0"/>
              <w:autoSpaceDE/>
              <w:autoSpaceDN/>
              <w:bidi w:val="0"/>
              <w:adjustRightInd/>
              <w:snapToGrid/>
              <w:spacing w:line="240" w:lineRule="atLeast"/>
              <w:ind w:right="-693" w:rightChars="-330"/>
              <w:jc w:val="both"/>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马克思主义理</w:t>
            </w:r>
          </w:p>
          <w:p>
            <w:pPr>
              <w:keepNext w:val="0"/>
              <w:keepLines w:val="0"/>
              <w:pageBreakBefore w:val="0"/>
              <w:widowControl w:val="0"/>
              <w:kinsoku/>
              <w:wordWrap/>
              <w:overflowPunct/>
              <w:topLinePunct w:val="0"/>
              <w:autoSpaceDE/>
              <w:autoSpaceDN/>
              <w:bidi w:val="0"/>
              <w:adjustRightInd/>
              <w:snapToGrid/>
              <w:spacing w:line="240" w:lineRule="atLeast"/>
              <w:ind w:right="-693" w:rightChars="-330"/>
              <w:jc w:val="both"/>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论、</w:t>
            </w:r>
          </w:p>
          <w:p>
            <w:pPr>
              <w:keepNext w:val="0"/>
              <w:keepLines w:val="0"/>
              <w:pageBreakBefore w:val="0"/>
              <w:widowControl w:val="0"/>
              <w:kinsoku/>
              <w:wordWrap/>
              <w:overflowPunct/>
              <w:topLinePunct w:val="0"/>
              <w:autoSpaceDE/>
              <w:autoSpaceDN/>
              <w:bidi w:val="0"/>
              <w:adjustRightInd/>
              <w:snapToGrid/>
              <w:spacing w:line="240" w:lineRule="atLeast"/>
              <w:ind w:right="-693" w:rightChars="-330"/>
              <w:jc w:val="both"/>
              <w:textAlignment w:val="auto"/>
              <w:rPr>
                <w:rFonts w:hint="default" w:ascii="仿宋_GB2312" w:hAnsi="宋体" w:eastAsia="仿宋_GB2312"/>
                <w:szCs w:val="21"/>
                <w:lang w:val="en-US" w:eastAsia="zh-CN"/>
              </w:rPr>
            </w:pPr>
            <w:r>
              <w:rPr>
                <w:rFonts w:hint="eastAsia" w:ascii="仿宋_GB2312" w:hAnsi="宋体" w:eastAsia="仿宋_GB2312"/>
                <w:szCs w:val="21"/>
                <w:lang w:val="en-US" w:eastAsia="zh-CN"/>
              </w:rPr>
              <w:t>思想政治教育</w:t>
            </w:r>
          </w:p>
        </w:tc>
        <w:tc>
          <w:tcPr>
            <w:tcW w:w="993" w:type="dxa"/>
            <w:vAlign w:val="center"/>
          </w:tcPr>
          <w:p>
            <w:pPr>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高职学生</w:t>
            </w:r>
          </w:p>
          <w:p>
            <w:pPr>
              <w:ind w:right="-693" w:rightChars="-330" w:firstLine="210" w:firstLineChars="100"/>
              <w:rPr>
                <w:rFonts w:hint="default" w:ascii="仿宋_GB2312" w:hAnsi="宋体" w:eastAsia="仿宋_GB2312" w:cs="Times New Roman"/>
                <w:kern w:val="2"/>
                <w:sz w:val="21"/>
                <w:szCs w:val="21"/>
                <w:lang w:val="en-US" w:eastAsia="zh-CN" w:bidi="ar-SA"/>
              </w:rPr>
            </w:pPr>
            <w:r>
              <w:rPr>
                <w:rFonts w:hint="eastAsia" w:ascii="仿宋_GB2312" w:hAnsi="宋体" w:eastAsia="仿宋_GB2312"/>
                <w:szCs w:val="21"/>
                <w:lang w:val="en-US" w:eastAsia="zh-CN"/>
              </w:rPr>
              <w:t>教学</w:t>
            </w:r>
          </w:p>
        </w:tc>
        <w:tc>
          <w:tcPr>
            <w:tcW w:w="1008" w:type="dxa"/>
          </w:tcPr>
          <w:p>
            <w:pPr>
              <w:ind w:right="-693" w:rightChars="-330"/>
              <w:rPr>
                <w:rFonts w:ascii="仿宋_GB2312" w:hAnsi="宋体" w:eastAsia="仿宋_GB2312"/>
                <w:szCs w:val="21"/>
              </w:rPr>
            </w:pPr>
            <w:bookmarkStart w:id="0" w:name="_GoBack"/>
            <w:bookmarkEnd w:id="0"/>
          </w:p>
        </w:tc>
        <w:tc>
          <w:tcPr>
            <w:tcW w:w="74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690" w:type="dxa"/>
            <w:vMerge w:val="continue"/>
          </w:tcPr>
          <w:p>
            <w:pPr>
              <w:spacing w:line="480" w:lineRule="auto"/>
              <w:ind w:right="-693" w:rightChars="-330"/>
              <w:rPr>
                <w:rFonts w:ascii="仿宋_GB2312" w:hAnsi="宋体" w:eastAsia="仿宋_GB2312"/>
                <w:sz w:val="28"/>
              </w:rPr>
            </w:pPr>
          </w:p>
        </w:tc>
        <w:tc>
          <w:tcPr>
            <w:tcW w:w="763"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周兰婷</w:t>
            </w:r>
          </w:p>
        </w:tc>
        <w:tc>
          <w:tcPr>
            <w:tcW w:w="522"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女</w:t>
            </w:r>
          </w:p>
        </w:tc>
        <w:tc>
          <w:tcPr>
            <w:tcW w:w="741"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1989.</w:t>
            </w:r>
          </w:p>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11</w:t>
            </w:r>
          </w:p>
        </w:tc>
        <w:tc>
          <w:tcPr>
            <w:tcW w:w="864"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助教</w:t>
            </w:r>
          </w:p>
        </w:tc>
        <w:tc>
          <w:tcPr>
            <w:tcW w:w="655"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无</w:t>
            </w:r>
          </w:p>
        </w:tc>
        <w:tc>
          <w:tcPr>
            <w:tcW w:w="1418" w:type="dxa"/>
          </w:tcPr>
          <w:p>
            <w:pPr>
              <w:keepNext w:val="0"/>
              <w:keepLines w:val="0"/>
              <w:pageBreakBefore w:val="0"/>
              <w:widowControl w:val="0"/>
              <w:kinsoku/>
              <w:wordWrap/>
              <w:overflowPunct/>
              <w:topLinePunct w:val="0"/>
              <w:autoSpaceDE/>
              <w:autoSpaceDN/>
              <w:bidi w:val="0"/>
              <w:adjustRightInd/>
              <w:snapToGrid/>
              <w:spacing w:line="240" w:lineRule="atLeast"/>
              <w:ind w:right="-693" w:rightChars="-330"/>
              <w:jc w:val="both"/>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马克思主义理</w:t>
            </w:r>
          </w:p>
          <w:p>
            <w:pPr>
              <w:keepNext w:val="0"/>
              <w:keepLines w:val="0"/>
              <w:pageBreakBefore w:val="0"/>
              <w:widowControl w:val="0"/>
              <w:kinsoku/>
              <w:wordWrap/>
              <w:overflowPunct/>
              <w:topLinePunct w:val="0"/>
              <w:autoSpaceDE/>
              <w:autoSpaceDN/>
              <w:bidi w:val="0"/>
              <w:adjustRightInd/>
              <w:snapToGrid/>
              <w:spacing w:line="240" w:lineRule="atLeast"/>
              <w:ind w:right="-693" w:rightChars="-330"/>
              <w:jc w:val="both"/>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论、</w:t>
            </w:r>
          </w:p>
          <w:p>
            <w:pPr>
              <w:spacing w:line="480" w:lineRule="auto"/>
              <w:ind w:right="-693" w:rightChars="-330"/>
              <w:jc w:val="both"/>
              <w:rPr>
                <w:rFonts w:ascii="仿宋_GB2312" w:hAnsi="宋体" w:eastAsia="仿宋_GB2312"/>
                <w:szCs w:val="21"/>
              </w:rPr>
            </w:pPr>
            <w:r>
              <w:rPr>
                <w:rFonts w:hint="eastAsia" w:ascii="仿宋_GB2312" w:hAnsi="宋体" w:eastAsia="仿宋_GB2312"/>
                <w:szCs w:val="21"/>
                <w:lang w:val="en-US" w:eastAsia="zh-CN"/>
              </w:rPr>
              <w:t>思想政治教育</w:t>
            </w:r>
          </w:p>
        </w:tc>
        <w:tc>
          <w:tcPr>
            <w:tcW w:w="993" w:type="dxa"/>
            <w:vAlign w:val="center"/>
          </w:tcPr>
          <w:p>
            <w:pPr>
              <w:ind w:right="-693" w:rightChars="-330"/>
              <w:jc w:val="left"/>
              <w:rPr>
                <w:rFonts w:hint="eastAsia" w:ascii="仿宋_GB2312" w:hAnsi="宋体" w:eastAsia="仿宋_GB2312"/>
                <w:szCs w:val="21"/>
                <w:lang w:val="en-US" w:eastAsia="zh-CN"/>
              </w:rPr>
            </w:pPr>
            <w:r>
              <w:rPr>
                <w:rFonts w:hint="eastAsia" w:ascii="仿宋_GB2312" w:hAnsi="宋体" w:eastAsia="仿宋_GB2312"/>
                <w:szCs w:val="21"/>
                <w:lang w:val="en-US" w:eastAsia="zh-CN"/>
              </w:rPr>
              <w:t>高职学生</w:t>
            </w:r>
          </w:p>
          <w:p>
            <w:pPr>
              <w:ind w:right="-693" w:rightChars="-330" w:firstLine="210" w:firstLineChars="100"/>
              <w:jc w:val="left"/>
              <w:rPr>
                <w:rFonts w:ascii="仿宋_GB2312" w:hAnsi="宋体" w:eastAsia="仿宋_GB2312" w:cs="Times New Roman"/>
                <w:kern w:val="2"/>
                <w:sz w:val="21"/>
                <w:szCs w:val="21"/>
                <w:lang w:val="en-US" w:eastAsia="zh-CN" w:bidi="ar-SA"/>
              </w:rPr>
            </w:pPr>
            <w:r>
              <w:rPr>
                <w:rFonts w:hint="eastAsia" w:ascii="仿宋_GB2312" w:hAnsi="宋体" w:eastAsia="仿宋_GB2312"/>
                <w:szCs w:val="21"/>
                <w:lang w:val="en-US" w:eastAsia="zh-CN"/>
              </w:rPr>
              <w:t>教学</w:t>
            </w:r>
          </w:p>
        </w:tc>
        <w:tc>
          <w:tcPr>
            <w:tcW w:w="1008" w:type="dxa"/>
          </w:tcPr>
          <w:p>
            <w:pPr>
              <w:ind w:right="-693" w:rightChars="-330"/>
              <w:rPr>
                <w:rFonts w:ascii="仿宋_GB2312" w:hAnsi="宋体" w:eastAsia="仿宋_GB2312"/>
                <w:szCs w:val="21"/>
              </w:rPr>
            </w:pPr>
          </w:p>
        </w:tc>
        <w:tc>
          <w:tcPr>
            <w:tcW w:w="74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690" w:type="dxa"/>
            <w:vMerge w:val="continue"/>
          </w:tcPr>
          <w:p>
            <w:pPr>
              <w:spacing w:line="480" w:lineRule="auto"/>
              <w:ind w:right="-693" w:rightChars="-330"/>
              <w:rPr>
                <w:rFonts w:ascii="仿宋_GB2312" w:hAnsi="宋体" w:eastAsia="仿宋_GB2312"/>
                <w:sz w:val="28"/>
              </w:rPr>
            </w:pPr>
          </w:p>
        </w:tc>
        <w:tc>
          <w:tcPr>
            <w:tcW w:w="763"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吴倩</w:t>
            </w:r>
          </w:p>
        </w:tc>
        <w:tc>
          <w:tcPr>
            <w:tcW w:w="522"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女</w:t>
            </w:r>
          </w:p>
        </w:tc>
        <w:tc>
          <w:tcPr>
            <w:tcW w:w="741"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1991.</w:t>
            </w:r>
          </w:p>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08</w:t>
            </w:r>
          </w:p>
        </w:tc>
        <w:tc>
          <w:tcPr>
            <w:tcW w:w="864"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助教</w:t>
            </w:r>
          </w:p>
        </w:tc>
        <w:tc>
          <w:tcPr>
            <w:tcW w:w="655"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无</w:t>
            </w:r>
          </w:p>
        </w:tc>
        <w:tc>
          <w:tcPr>
            <w:tcW w:w="1418" w:type="dxa"/>
          </w:tcPr>
          <w:p>
            <w:pPr>
              <w:keepNext w:val="0"/>
              <w:keepLines w:val="0"/>
              <w:pageBreakBefore w:val="0"/>
              <w:widowControl w:val="0"/>
              <w:kinsoku/>
              <w:wordWrap/>
              <w:overflowPunct/>
              <w:topLinePunct w:val="0"/>
              <w:autoSpaceDE/>
              <w:autoSpaceDN/>
              <w:bidi w:val="0"/>
              <w:adjustRightInd/>
              <w:snapToGrid/>
              <w:spacing w:line="240" w:lineRule="atLeast"/>
              <w:ind w:right="-693" w:rightChars="-330"/>
              <w:jc w:val="both"/>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马克思主义理</w:t>
            </w:r>
          </w:p>
          <w:p>
            <w:pPr>
              <w:keepNext w:val="0"/>
              <w:keepLines w:val="0"/>
              <w:pageBreakBefore w:val="0"/>
              <w:widowControl w:val="0"/>
              <w:kinsoku/>
              <w:wordWrap/>
              <w:overflowPunct/>
              <w:topLinePunct w:val="0"/>
              <w:autoSpaceDE/>
              <w:autoSpaceDN/>
              <w:bidi w:val="0"/>
              <w:adjustRightInd/>
              <w:snapToGrid/>
              <w:spacing w:line="240" w:lineRule="atLeast"/>
              <w:ind w:right="-693" w:rightChars="-330"/>
              <w:jc w:val="both"/>
              <w:textAlignment w:val="auto"/>
              <w:rPr>
                <w:rFonts w:hint="eastAsia" w:ascii="仿宋_GB2312" w:hAnsi="宋体" w:eastAsia="仿宋_GB2312"/>
                <w:szCs w:val="21"/>
                <w:lang w:val="en-US" w:eastAsia="zh-CN"/>
              </w:rPr>
            </w:pPr>
            <w:r>
              <w:rPr>
                <w:rFonts w:hint="eastAsia" w:ascii="仿宋_GB2312" w:hAnsi="宋体" w:eastAsia="仿宋_GB2312"/>
                <w:szCs w:val="21"/>
                <w:lang w:val="en-US" w:eastAsia="zh-CN"/>
              </w:rPr>
              <w:t>论、</w:t>
            </w:r>
          </w:p>
          <w:p>
            <w:pPr>
              <w:spacing w:line="480" w:lineRule="auto"/>
              <w:ind w:right="-693" w:rightChars="-330"/>
              <w:jc w:val="both"/>
              <w:rPr>
                <w:rFonts w:ascii="仿宋_GB2312" w:hAnsi="宋体" w:eastAsia="仿宋_GB2312"/>
                <w:szCs w:val="21"/>
              </w:rPr>
            </w:pPr>
            <w:r>
              <w:rPr>
                <w:rFonts w:hint="eastAsia" w:ascii="仿宋_GB2312" w:hAnsi="宋体" w:eastAsia="仿宋_GB2312"/>
                <w:szCs w:val="21"/>
                <w:lang w:val="en-US" w:eastAsia="zh-CN"/>
              </w:rPr>
              <w:t>思想政治教育</w:t>
            </w:r>
          </w:p>
        </w:tc>
        <w:tc>
          <w:tcPr>
            <w:tcW w:w="993" w:type="dxa"/>
            <w:vAlign w:val="center"/>
          </w:tcPr>
          <w:p>
            <w:pPr>
              <w:ind w:right="-693" w:rightChars="-330"/>
              <w:jc w:val="left"/>
              <w:rPr>
                <w:rFonts w:hint="eastAsia" w:ascii="仿宋_GB2312" w:hAnsi="宋体" w:eastAsia="仿宋_GB2312"/>
                <w:szCs w:val="21"/>
                <w:lang w:val="en-US" w:eastAsia="zh-CN"/>
              </w:rPr>
            </w:pPr>
            <w:r>
              <w:rPr>
                <w:rFonts w:hint="eastAsia" w:ascii="仿宋_GB2312" w:hAnsi="宋体" w:eastAsia="仿宋_GB2312"/>
                <w:szCs w:val="21"/>
                <w:lang w:val="en-US" w:eastAsia="zh-CN"/>
              </w:rPr>
              <w:t>高职学生</w:t>
            </w:r>
          </w:p>
          <w:p>
            <w:pPr>
              <w:ind w:right="-693" w:rightChars="-330" w:firstLine="210" w:firstLineChars="100"/>
              <w:jc w:val="left"/>
              <w:rPr>
                <w:rFonts w:ascii="仿宋_GB2312" w:hAnsi="宋体" w:eastAsia="仿宋_GB2312" w:cs="Times New Roman"/>
                <w:kern w:val="2"/>
                <w:sz w:val="21"/>
                <w:szCs w:val="21"/>
                <w:lang w:val="en-US" w:eastAsia="zh-CN" w:bidi="ar-SA"/>
              </w:rPr>
            </w:pPr>
            <w:r>
              <w:rPr>
                <w:rFonts w:hint="eastAsia" w:ascii="仿宋_GB2312" w:hAnsi="宋体" w:eastAsia="仿宋_GB2312"/>
                <w:szCs w:val="21"/>
                <w:lang w:val="en-US" w:eastAsia="zh-CN"/>
              </w:rPr>
              <w:t>教学</w:t>
            </w:r>
          </w:p>
        </w:tc>
        <w:tc>
          <w:tcPr>
            <w:tcW w:w="1008" w:type="dxa"/>
          </w:tcPr>
          <w:p>
            <w:pPr>
              <w:ind w:right="-693" w:rightChars="-330"/>
              <w:rPr>
                <w:rFonts w:ascii="仿宋_GB2312" w:hAnsi="宋体" w:eastAsia="仿宋_GB2312"/>
                <w:szCs w:val="21"/>
              </w:rPr>
            </w:pPr>
          </w:p>
        </w:tc>
        <w:tc>
          <w:tcPr>
            <w:tcW w:w="74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trPr>
        <w:tc>
          <w:tcPr>
            <w:tcW w:w="690" w:type="dxa"/>
            <w:vMerge w:val="continue"/>
          </w:tcPr>
          <w:p>
            <w:pPr>
              <w:spacing w:line="480" w:lineRule="auto"/>
              <w:ind w:right="-693" w:rightChars="-330"/>
              <w:rPr>
                <w:rFonts w:ascii="仿宋_GB2312" w:hAnsi="宋体" w:eastAsia="仿宋_GB2312"/>
                <w:sz w:val="28"/>
              </w:rPr>
            </w:pPr>
          </w:p>
        </w:tc>
        <w:tc>
          <w:tcPr>
            <w:tcW w:w="763"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李斌</w:t>
            </w:r>
          </w:p>
        </w:tc>
        <w:tc>
          <w:tcPr>
            <w:tcW w:w="522"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男</w:t>
            </w:r>
          </w:p>
        </w:tc>
        <w:tc>
          <w:tcPr>
            <w:tcW w:w="741"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1992.</w:t>
            </w:r>
          </w:p>
          <w:p>
            <w:pPr>
              <w:spacing w:line="480" w:lineRule="auto"/>
              <w:ind w:right="-693" w:rightChars="-330"/>
              <w:rPr>
                <w:rFonts w:hint="default" w:ascii="仿宋_GB2312" w:hAnsi="宋体" w:eastAsia="仿宋_GB2312"/>
                <w:szCs w:val="21"/>
                <w:lang w:val="en-US" w:eastAsia="zh-CN"/>
              </w:rPr>
            </w:pPr>
            <w:r>
              <w:rPr>
                <w:rFonts w:hint="eastAsia" w:ascii="仿宋_GB2312" w:hAnsi="宋体" w:eastAsia="仿宋_GB2312"/>
                <w:szCs w:val="21"/>
                <w:lang w:val="en-US" w:eastAsia="zh-CN"/>
              </w:rPr>
              <w:t>11</w:t>
            </w:r>
          </w:p>
        </w:tc>
        <w:tc>
          <w:tcPr>
            <w:tcW w:w="864"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助教</w:t>
            </w:r>
          </w:p>
        </w:tc>
        <w:tc>
          <w:tcPr>
            <w:tcW w:w="655" w:type="dxa"/>
          </w:tcPr>
          <w:p>
            <w:pPr>
              <w:spacing w:line="480" w:lineRule="auto"/>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无</w:t>
            </w:r>
          </w:p>
        </w:tc>
        <w:tc>
          <w:tcPr>
            <w:tcW w:w="1418" w:type="dxa"/>
          </w:tcPr>
          <w:p>
            <w:pPr>
              <w:spacing w:line="480" w:lineRule="auto"/>
              <w:ind w:right="-693" w:rightChars="-330"/>
              <w:jc w:val="both"/>
              <w:rPr>
                <w:rFonts w:hint="default" w:ascii="仿宋_GB2312" w:hAnsi="宋体" w:eastAsia="仿宋_GB2312"/>
                <w:szCs w:val="21"/>
                <w:lang w:val="en-US" w:eastAsia="zh-CN"/>
              </w:rPr>
            </w:pPr>
            <w:r>
              <w:rPr>
                <w:rFonts w:hint="eastAsia" w:ascii="仿宋_GB2312" w:hAnsi="宋体" w:eastAsia="仿宋_GB2312"/>
                <w:szCs w:val="21"/>
                <w:lang w:val="en-US" w:eastAsia="zh-CN"/>
              </w:rPr>
              <w:t>法学</w:t>
            </w:r>
          </w:p>
        </w:tc>
        <w:tc>
          <w:tcPr>
            <w:tcW w:w="993" w:type="dxa"/>
            <w:vAlign w:val="center"/>
          </w:tcPr>
          <w:p>
            <w:pPr>
              <w:ind w:right="-693" w:rightChars="-330"/>
              <w:rPr>
                <w:rFonts w:hint="eastAsia" w:ascii="仿宋_GB2312" w:hAnsi="宋体" w:eastAsia="仿宋_GB2312"/>
                <w:szCs w:val="21"/>
                <w:lang w:val="en-US" w:eastAsia="zh-CN"/>
              </w:rPr>
            </w:pPr>
            <w:r>
              <w:rPr>
                <w:rFonts w:hint="eastAsia" w:ascii="仿宋_GB2312" w:hAnsi="宋体" w:eastAsia="仿宋_GB2312"/>
                <w:szCs w:val="21"/>
                <w:lang w:val="en-US" w:eastAsia="zh-CN"/>
              </w:rPr>
              <w:t>高职学生</w:t>
            </w:r>
          </w:p>
          <w:p>
            <w:pPr>
              <w:ind w:right="-693" w:rightChars="-330" w:firstLine="210" w:firstLineChars="100"/>
              <w:rPr>
                <w:rFonts w:hint="default" w:ascii="仿宋_GB2312" w:hAnsi="宋体" w:eastAsia="仿宋_GB2312" w:cs="Times New Roman"/>
                <w:kern w:val="2"/>
                <w:sz w:val="21"/>
                <w:szCs w:val="21"/>
                <w:lang w:val="en-US" w:eastAsia="zh-CN" w:bidi="ar-SA"/>
              </w:rPr>
            </w:pPr>
            <w:r>
              <w:rPr>
                <w:rFonts w:hint="eastAsia" w:ascii="仿宋_GB2312" w:hAnsi="宋体" w:eastAsia="仿宋_GB2312"/>
                <w:szCs w:val="21"/>
                <w:lang w:val="en-US" w:eastAsia="zh-CN"/>
              </w:rPr>
              <w:t>教学</w:t>
            </w:r>
          </w:p>
        </w:tc>
        <w:tc>
          <w:tcPr>
            <w:tcW w:w="1008" w:type="dxa"/>
          </w:tcPr>
          <w:p>
            <w:pPr>
              <w:ind w:right="-693" w:rightChars="-330"/>
              <w:rPr>
                <w:rFonts w:ascii="仿宋_GB2312" w:hAnsi="宋体" w:eastAsia="仿宋_GB2312"/>
                <w:szCs w:val="21"/>
              </w:rPr>
            </w:pPr>
          </w:p>
        </w:tc>
        <w:tc>
          <w:tcPr>
            <w:tcW w:w="740" w:type="dxa"/>
            <w:vAlign w:val="center"/>
          </w:tcPr>
          <w:p>
            <w:pPr>
              <w:ind w:right="-693" w:rightChars="-330"/>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9" w:hRule="atLeast"/>
        </w:trPr>
        <w:tc>
          <w:tcPr>
            <w:tcW w:w="690" w:type="dxa"/>
            <w:tcBorders>
              <w:top w:val="nil"/>
              <w:bottom w:val="single" w:color="auto" w:sz="4" w:space="0"/>
            </w:tcBorders>
            <w:vAlign w:val="center"/>
          </w:tcPr>
          <w:p>
            <w:pPr>
              <w:adjustRightInd w:val="0"/>
              <w:snapToGrid w:val="0"/>
              <w:spacing w:line="240" w:lineRule="atLeast"/>
              <w:ind w:right="-103" w:rightChars="-49"/>
              <w:rPr>
                <w:rFonts w:ascii="仿宋_GB2312" w:hAnsi="宋体" w:eastAsia="仿宋_GB2312"/>
                <w:b/>
                <w:sz w:val="24"/>
              </w:rPr>
            </w:pPr>
            <w:r>
              <w:rPr>
                <w:rFonts w:hint="eastAsia" w:ascii="仿宋_GB2312" w:hAnsi="宋体" w:eastAsia="仿宋_GB2312"/>
                <w:b/>
                <w:sz w:val="24"/>
              </w:rPr>
              <w:t>课程</w:t>
            </w:r>
          </w:p>
          <w:p>
            <w:pPr>
              <w:adjustRightInd w:val="0"/>
              <w:snapToGrid w:val="0"/>
              <w:spacing w:line="240" w:lineRule="atLeast"/>
              <w:ind w:right="-103" w:rightChars="-49"/>
              <w:rPr>
                <w:rFonts w:ascii="仿宋_GB2312" w:hAnsi="宋体" w:eastAsia="仿宋_GB2312"/>
                <w:b/>
                <w:sz w:val="24"/>
              </w:rPr>
            </w:pPr>
            <w:r>
              <w:rPr>
                <w:rFonts w:hint="eastAsia" w:ascii="仿宋_GB2312" w:hAnsi="宋体" w:eastAsia="仿宋_GB2312"/>
                <w:b/>
                <w:sz w:val="24"/>
              </w:rPr>
              <w:t>团队</w:t>
            </w:r>
          </w:p>
          <w:p>
            <w:pPr>
              <w:adjustRightInd w:val="0"/>
              <w:snapToGrid w:val="0"/>
              <w:spacing w:line="240" w:lineRule="atLeast"/>
              <w:ind w:right="-103" w:rightChars="-49"/>
              <w:rPr>
                <w:rFonts w:ascii="仿宋_GB2312" w:hAnsi="宋体" w:eastAsia="仿宋_GB2312"/>
                <w:b/>
                <w:sz w:val="24"/>
              </w:rPr>
            </w:pPr>
            <w:r>
              <w:rPr>
                <w:rFonts w:hint="eastAsia" w:ascii="仿宋_GB2312" w:hAnsi="宋体" w:eastAsia="仿宋_GB2312"/>
                <w:b/>
                <w:sz w:val="24"/>
              </w:rPr>
              <w:t>整体</w:t>
            </w:r>
          </w:p>
          <w:p>
            <w:pPr>
              <w:adjustRightInd w:val="0"/>
              <w:snapToGrid w:val="0"/>
              <w:spacing w:line="240" w:lineRule="atLeast"/>
              <w:ind w:right="-103" w:rightChars="-49"/>
              <w:rPr>
                <w:rFonts w:ascii="仿宋_GB2312" w:hAnsi="宋体" w:eastAsia="仿宋_GB2312"/>
                <w:b/>
                <w:sz w:val="24"/>
              </w:rPr>
            </w:pPr>
            <w:r>
              <w:rPr>
                <w:rFonts w:hint="eastAsia" w:ascii="仿宋_GB2312" w:hAnsi="宋体" w:eastAsia="仿宋_GB2312"/>
                <w:b/>
                <w:sz w:val="24"/>
              </w:rPr>
              <w:t>素质</w:t>
            </w:r>
          </w:p>
          <w:p>
            <w:pPr>
              <w:adjustRightInd w:val="0"/>
              <w:snapToGrid w:val="0"/>
              <w:spacing w:line="240" w:lineRule="atLeast"/>
              <w:ind w:right="-103" w:rightChars="-49"/>
              <w:rPr>
                <w:rFonts w:ascii="仿宋_GB2312" w:hAnsi="宋体" w:eastAsia="仿宋_GB2312"/>
                <w:b/>
                <w:sz w:val="24"/>
              </w:rPr>
            </w:pPr>
            <w:r>
              <w:rPr>
                <w:rFonts w:hint="eastAsia" w:ascii="仿宋_GB2312" w:hAnsi="宋体" w:eastAsia="仿宋_GB2312"/>
                <w:b/>
                <w:sz w:val="24"/>
              </w:rPr>
              <w:t>及青</w:t>
            </w:r>
          </w:p>
          <w:p>
            <w:pPr>
              <w:adjustRightInd w:val="0"/>
              <w:snapToGrid w:val="0"/>
              <w:spacing w:line="240" w:lineRule="atLeast"/>
              <w:ind w:right="-103" w:rightChars="-49"/>
              <w:rPr>
                <w:rFonts w:ascii="仿宋_GB2312" w:hAnsi="宋体" w:eastAsia="仿宋_GB2312"/>
                <w:b/>
                <w:sz w:val="24"/>
              </w:rPr>
            </w:pPr>
            <w:r>
              <w:rPr>
                <w:rFonts w:hint="eastAsia" w:ascii="仿宋_GB2312" w:hAnsi="宋体" w:eastAsia="仿宋_GB2312"/>
                <w:b/>
                <w:sz w:val="24"/>
              </w:rPr>
              <w:t>年教</w:t>
            </w:r>
          </w:p>
          <w:p>
            <w:pPr>
              <w:adjustRightInd w:val="0"/>
              <w:snapToGrid w:val="0"/>
              <w:spacing w:line="240" w:lineRule="atLeast"/>
              <w:ind w:right="-103" w:rightChars="-49"/>
              <w:rPr>
                <w:rFonts w:ascii="仿宋_GB2312" w:hAnsi="宋体" w:eastAsia="仿宋_GB2312"/>
                <w:b/>
                <w:sz w:val="24"/>
              </w:rPr>
            </w:pPr>
            <w:r>
              <w:rPr>
                <w:rFonts w:hint="eastAsia" w:ascii="仿宋_GB2312" w:hAnsi="宋体" w:eastAsia="仿宋_GB2312"/>
                <w:b/>
                <w:sz w:val="24"/>
              </w:rPr>
              <w:t>师培</w:t>
            </w:r>
          </w:p>
          <w:p>
            <w:pPr>
              <w:adjustRightInd w:val="0"/>
              <w:snapToGrid w:val="0"/>
              <w:spacing w:line="240" w:lineRule="atLeast"/>
              <w:ind w:right="-103" w:rightChars="-49" w:firstLine="120" w:firstLineChars="50"/>
              <w:rPr>
                <w:rFonts w:ascii="仿宋_GB2312" w:hAnsi="宋体" w:eastAsia="仿宋_GB2312"/>
                <w:b/>
                <w:sz w:val="24"/>
              </w:rPr>
            </w:pPr>
            <w:r>
              <w:rPr>
                <w:rFonts w:hint="eastAsia" w:ascii="仿宋_GB2312" w:hAnsi="宋体" w:eastAsia="仿宋_GB2312"/>
                <w:b/>
                <w:sz w:val="24"/>
              </w:rPr>
              <w:t>养</w:t>
            </w:r>
          </w:p>
        </w:tc>
        <w:tc>
          <w:tcPr>
            <w:tcW w:w="7704" w:type="dxa"/>
            <w:gridSpan w:val="9"/>
            <w:tcBorders>
              <w:top w:val="nil"/>
              <w:bottom w:val="single" w:color="auto" w:sz="4" w:space="0"/>
              <w:right w:val="single" w:color="auto" w:sz="4" w:space="0"/>
            </w:tcBorders>
          </w:tcPr>
          <w:p>
            <w:pPr>
              <w:ind w:firstLine="420" w:firstLineChars="200"/>
              <w:jc w:val="left"/>
              <w:rPr>
                <w:rFonts w:hint="eastAsia" w:ascii="仿宋_GB2312" w:hAnsi="宋体" w:eastAsia="仿宋_GB2312"/>
                <w:lang w:val="en-US" w:eastAsia="zh-CN"/>
              </w:rPr>
            </w:pPr>
            <w:r>
              <w:rPr>
                <w:rFonts w:hint="eastAsia" w:ascii="仿宋_GB2312" w:hAnsi="宋体" w:eastAsia="仿宋_GB2312"/>
                <w:lang w:val="en-US" w:eastAsia="zh-CN"/>
              </w:rPr>
              <w:t>课程团队的“双师”结构、专兼教师比例、知识结构、专业技术职务及职业资格结构、年龄结构、学缘结构、优秀教育技术骨干配置、近五年培养青年教师的措施与成效：</w:t>
            </w:r>
          </w:p>
          <w:p>
            <w:pPr>
              <w:ind w:firstLine="420" w:firstLineChars="200"/>
              <w:jc w:val="left"/>
              <w:rPr>
                <w:rFonts w:hint="eastAsia" w:ascii="仿宋_GB2312" w:hAnsi="宋体" w:eastAsia="仿宋_GB2312"/>
                <w:lang w:val="en-US" w:eastAsia="zh-CN"/>
              </w:rPr>
            </w:pPr>
            <w:r>
              <w:rPr>
                <w:rFonts w:hint="eastAsia" w:ascii="仿宋_GB2312" w:hAnsi="宋体" w:eastAsia="仿宋_GB2312"/>
                <w:lang w:val="en-US" w:eastAsia="zh-CN"/>
              </w:rPr>
              <w:t>截止</w:t>
            </w:r>
            <w:r>
              <w:rPr>
                <w:rFonts w:hint="eastAsia" w:ascii="仿宋_GB2312" w:hAnsi="宋体" w:eastAsia="仿宋_GB2312"/>
                <w:color w:val="C00000"/>
                <w:lang w:val="en-US" w:eastAsia="zh-CN"/>
              </w:rPr>
              <w:t>8月30号（填报日期是8月16，所以时间是否需要提前？），</w:t>
            </w:r>
            <w:r>
              <w:rPr>
                <w:rFonts w:hint="eastAsia" w:ascii="仿宋_GB2312" w:hAnsi="宋体" w:eastAsia="仿宋_GB2312"/>
                <w:lang w:val="en-US" w:eastAsia="zh-CN"/>
              </w:rPr>
              <w:t>学校全日制在校生4508人，马克思主义学院现有教师总数16人，生师比281.75:1。其中院内专任教师12人，院内兼课教师1人，校外兼课教师3人。其中高级职称教师1人，占专任教师比8.33%；专业课教师16人；研究生及以上学历 6人，占专任教师比37.5%。</w:t>
            </w:r>
          </w:p>
          <w:p>
            <w:pPr>
              <w:ind w:firstLine="420" w:firstLineChars="200"/>
              <w:jc w:val="left"/>
              <w:rPr>
                <w:rFonts w:hint="default" w:ascii="仿宋_GB2312" w:hAnsi="宋体" w:eastAsia="仿宋_GB2312"/>
                <w:lang w:val="en-US" w:eastAsia="zh-CN"/>
              </w:rPr>
            </w:pPr>
            <w:r>
              <w:rPr>
                <w:rFonts w:hint="default" w:ascii="仿宋_GB2312" w:hAnsi="宋体" w:eastAsia="仿宋_GB2312"/>
                <w:lang w:val="en-US" w:eastAsia="zh-CN"/>
              </w:rPr>
              <w:t>学校坚持“引育并举、专兼并重”的方针，高度重视人才引进工作，尤其是高学历、高职称人才引进工作，先后制订了《安徽扬子职业技术学院学院师资队伍建设规划》、《安徽扬子职业技术学院教职工招聘管理制度》、《安徽扬子职业技术学院学院高层次人才管理制度》等相关文件、制度。近年来，学校引进著名专家教授</w:t>
            </w:r>
            <w:r>
              <w:rPr>
                <w:rFonts w:hint="eastAsia" w:ascii="仿宋_GB2312" w:hAnsi="宋体" w:eastAsia="仿宋_GB2312"/>
                <w:lang w:val="en-US" w:eastAsia="zh-CN"/>
              </w:rPr>
              <w:t>5</w:t>
            </w:r>
            <w:r>
              <w:rPr>
                <w:rFonts w:hint="default" w:ascii="仿宋_GB2312" w:hAnsi="宋体" w:eastAsia="仿宋_GB2312"/>
                <w:lang w:val="en-US" w:eastAsia="zh-CN"/>
              </w:rPr>
              <w:t>人，吸纳硕士及以上学历优秀人才</w:t>
            </w:r>
            <w:r>
              <w:rPr>
                <w:rFonts w:hint="eastAsia" w:ascii="仿宋_GB2312" w:hAnsi="宋体" w:eastAsia="仿宋_GB2312"/>
                <w:lang w:val="en-US" w:eastAsia="zh-CN"/>
              </w:rPr>
              <w:t>6</w:t>
            </w:r>
            <w:r>
              <w:rPr>
                <w:rFonts w:hint="default" w:ascii="仿宋_GB2312" w:hAnsi="宋体" w:eastAsia="仿宋_GB2312"/>
                <w:lang w:val="en-US" w:eastAsia="zh-CN"/>
              </w:rPr>
              <w:t>人。2019-2020学年，学院专任教师</w:t>
            </w:r>
            <w:r>
              <w:rPr>
                <w:rFonts w:hint="eastAsia" w:ascii="仿宋_GB2312" w:hAnsi="宋体" w:eastAsia="仿宋_GB2312"/>
                <w:lang w:val="en-US" w:eastAsia="zh-CN"/>
              </w:rPr>
              <w:t>12</w:t>
            </w:r>
            <w:r>
              <w:rPr>
                <w:rFonts w:hint="default" w:ascii="仿宋_GB2312" w:hAnsi="宋体" w:eastAsia="仿宋_GB2312"/>
                <w:lang w:val="en-US" w:eastAsia="zh-CN"/>
              </w:rPr>
              <w:t>人，校内兼课教师</w:t>
            </w:r>
            <w:r>
              <w:rPr>
                <w:rFonts w:hint="eastAsia" w:ascii="仿宋_GB2312" w:hAnsi="宋体" w:eastAsia="仿宋_GB2312"/>
                <w:lang w:val="en-US" w:eastAsia="zh-CN"/>
              </w:rPr>
              <w:t>3</w:t>
            </w:r>
            <w:r>
              <w:rPr>
                <w:rFonts w:hint="default" w:ascii="仿宋_GB2312" w:hAnsi="宋体" w:eastAsia="仿宋_GB2312"/>
                <w:lang w:val="en-US" w:eastAsia="zh-CN"/>
              </w:rPr>
              <w:t>人，折算教师总数</w:t>
            </w:r>
            <w:r>
              <w:rPr>
                <w:rFonts w:hint="eastAsia" w:ascii="仿宋_GB2312" w:hAnsi="宋体" w:eastAsia="仿宋_GB2312"/>
                <w:lang w:val="en-US" w:eastAsia="zh-CN"/>
              </w:rPr>
              <w:t>16</w:t>
            </w:r>
            <w:r>
              <w:rPr>
                <w:rFonts w:hint="default" w:ascii="仿宋_GB2312" w:hAnsi="宋体" w:eastAsia="仿宋_GB2312"/>
                <w:lang w:val="en-US" w:eastAsia="zh-CN"/>
              </w:rPr>
              <w:t>人，生师比1：</w:t>
            </w:r>
            <w:r>
              <w:rPr>
                <w:rFonts w:hint="eastAsia" w:ascii="仿宋_GB2312" w:hAnsi="宋体" w:eastAsia="仿宋_GB2312"/>
                <w:lang w:val="en-US" w:eastAsia="zh-CN"/>
              </w:rPr>
              <w:t>281.75；</w:t>
            </w:r>
            <w:r>
              <w:rPr>
                <w:rFonts w:hint="default" w:ascii="仿宋_GB2312" w:hAnsi="宋体" w:eastAsia="仿宋_GB2312"/>
                <w:lang w:val="en-US" w:eastAsia="zh-CN"/>
              </w:rPr>
              <w:t>教师队伍结构得到了进一步的优化。</w:t>
            </w:r>
          </w:p>
          <w:p>
            <w:pPr>
              <w:ind w:firstLine="420" w:firstLineChars="200"/>
              <w:jc w:val="left"/>
              <w:rPr>
                <w:rFonts w:hint="eastAsia" w:ascii="仿宋_GB2312" w:hAnsi="宋体" w:eastAsia="仿宋_GB2312"/>
                <w:lang w:val="en-US" w:eastAsia="zh-CN"/>
              </w:rPr>
            </w:pPr>
            <w:r>
              <w:rPr>
                <w:rFonts w:hint="default" w:ascii="仿宋_GB2312" w:hAnsi="宋体" w:eastAsia="仿宋_GB2312"/>
                <w:lang w:val="en-US" w:eastAsia="zh-CN"/>
              </w:rPr>
              <w:t>创新新进人才培养机制。建立比较特色的“老带新”导师制度，为新进年轻教师安排一名专家学者或者专业带头人，实行“传、帮、力。狠抓人才学历提升。制定教职工学历提升方案和激励机制，鼓励教师在职提升学历，提供招考资料和信息，分期报销在职研读费用，并给予带”的引导与培养机制，帮助年轻教师快速适应教学岗位，提高教学能力，提升教学质量。加强教师“走出去”培养。分期、分批、有计划地选派专业教师到国内知名高校进修或做访问学者，以及到技术先进的企业实习实践，夯实教师专业教学水平和能其他相应补贴。强抓岗位培训。要求新教师上岗必须通过岗前培训，取得合格证。开展“说课竞赛”、“教案评比”、“教师信息化大赛”等竞赛活动，以此着力提高教师的课堂教学和信息技术应用能力。五是强化人才考核与选拔。成立人才引进考核小组，从综合素质、职业能力等方面进行考核，选拔专业带头人和骨干教师，不断提高教师队伍的层次与质量水平，形成了教学与科研骨干队伍和梯队结构相结合的师资体系</w:t>
            </w:r>
            <w:r>
              <w:rPr>
                <w:rFonts w:hint="eastAsia" w:ascii="仿宋_GB2312" w:hAnsi="宋体" w:eastAsia="仿宋_GB2312"/>
                <w:lang w:val="en-US" w:eastAsia="zh-CN"/>
              </w:rPr>
              <w:t>。</w:t>
            </w:r>
          </w:p>
          <w:p>
            <w:pPr>
              <w:ind w:firstLine="420" w:firstLineChars="200"/>
              <w:jc w:val="left"/>
              <w:rPr>
                <w:rFonts w:hint="default" w:ascii="仿宋_GB2312" w:hAnsi="宋体" w:eastAsia="仿宋_GB2312"/>
                <w:lang w:val="en-US" w:eastAsia="zh-CN"/>
              </w:rPr>
            </w:pPr>
            <w:r>
              <w:rPr>
                <w:rFonts w:hint="default" w:ascii="仿宋_GB2312" w:hAnsi="宋体" w:eastAsia="仿宋_GB2312"/>
                <w:lang w:val="en-US" w:eastAsia="zh-CN"/>
              </w:rPr>
              <w:t>配强兼职队伍，优化“双师”结构</w:t>
            </w:r>
          </w:p>
          <w:p>
            <w:pPr>
              <w:ind w:firstLine="420" w:firstLineChars="200"/>
              <w:jc w:val="left"/>
              <w:rPr>
                <w:rFonts w:hint="default" w:asciiTheme="majorEastAsia" w:hAnsiTheme="majorEastAsia" w:eastAsiaTheme="majorEastAsia"/>
                <w:lang w:val="en-US" w:eastAsia="zh-CN"/>
              </w:rPr>
            </w:pPr>
            <w:r>
              <w:rPr>
                <w:rFonts w:hint="default" w:ascii="仿宋_GB2312" w:hAnsi="宋体" w:eastAsia="仿宋_GB2312"/>
                <w:lang w:val="en-US" w:eastAsia="zh-CN"/>
              </w:rPr>
              <w:t>学校高度重视兼职教师队伍建设，利用芜湖国家经济开发区、芜湖高新技术开发区、三山区开发区的地域优势和人才优势外聘专业技术人才，优化“双师”结构，同时也从其他企事业单位、高校科研院所广泛聘用兼职教师，进行专业技术课程讲授，现聘有校外兼职兼课教师</w:t>
            </w:r>
            <w:r>
              <w:rPr>
                <w:rFonts w:hint="eastAsia" w:ascii="仿宋_GB2312" w:hAnsi="宋体" w:eastAsia="仿宋_GB2312"/>
                <w:lang w:val="en-US" w:eastAsia="zh-CN"/>
              </w:rPr>
              <w:t>3</w:t>
            </w:r>
            <w:r>
              <w:rPr>
                <w:rFonts w:hint="default" w:ascii="仿宋_GB2312" w:hAnsi="宋体" w:eastAsia="仿宋_GB2312"/>
                <w:lang w:val="en-US" w:eastAsia="zh-CN"/>
              </w:rPr>
              <w:t>人，主要承担实践技能课程和部分专业课程的教学工作。同时加强对兼职教师队伍的管理，一是制定《外聘教师管理制度》，对外聘教师的基本条件、选聘程序、工作职责、业绩考核等内容做出了明确规定。二是定期组织与兼职教师的学习和交流，召开兼职教师座谈会。三是通过积极吸纳兼职教师参与人才培养方案的制订、课程标准及教材开发、实习实训大纲建设、实习实训基地建设。四是建立企业外聘专家资源库，充实学院专业技能性高、实操性强的专业课程教师资源。</w:t>
            </w:r>
          </w:p>
        </w:tc>
      </w:tr>
    </w:tbl>
    <w:p>
      <w:pPr>
        <w:adjustRightInd w:val="0"/>
        <w:snapToGrid w:val="0"/>
        <w:spacing w:line="240" w:lineRule="atLeast"/>
        <w:ind w:right="-103" w:rightChars="-49"/>
        <w:rPr>
          <w:rFonts w:hint="eastAsia" w:ascii="仿宋_GB2312" w:hAnsi="宋体" w:eastAsia="仿宋_GB2312"/>
          <w:b/>
          <w:sz w:val="24"/>
          <w:lang w:val="en-US" w:eastAsia="zh-CN"/>
        </w:rPr>
      </w:pPr>
    </w:p>
    <w:p>
      <w:pPr>
        <w:adjustRightInd w:val="0"/>
        <w:snapToGrid w:val="0"/>
        <w:spacing w:line="240" w:lineRule="atLeast"/>
        <w:ind w:right="-103" w:rightChars="-49"/>
        <w:rPr>
          <w:rFonts w:hint="eastAsia" w:ascii="仿宋_GB2312" w:hAnsi="宋体" w:eastAsia="仿宋_GB2312"/>
          <w:b/>
          <w:sz w:val="24"/>
          <w:lang w:val="en-US" w:eastAsia="zh-CN"/>
        </w:rPr>
      </w:pPr>
    </w:p>
    <w:p>
      <w:pPr>
        <w:adjustRightInd w:val="0"/>
        <w:snapToGrid w:val="0"/>
        <w:spacing w:line="240" w:lineRule="atLeast"/>
        <w:ind w:right="-103" w:rightChars="-49"/>
        <w:rPr>
          <w:rFonts w:hint="eastAsia" w:ascii="仿宋_GB2312" w:hAnsi="宋体" w:eastAsia="仿宋_GB2312"/>
          <w:b/>
          <w:sz w:val="24"/>
          <w:lang w:val="en-US" w:eastAsia="zh-CN"/>
        </w:rPr>
      </w:pPr>
    </w:p>
    <w:p>
      <w:pPr>
        <w:adjustRightInd w:val="0"/>
        <w:snapToGrid w:val="0"/>
        <w:spacing w:line="240" w:lineRule="atLeast"/>
        <w:ind w:right="-103" w:rightChars="-49"/>
        <w:rPr>
          <w:rFonts w:hint="eastAsia" w:ascii="仿宋_GB2312" w:hAnsi="宋体" w:eastAsia="仿宋_GB2312"/>
          <w:b/>
          <w:sz w:val="24"/>
          <w:lang w:val="en-US" w:eastAsia="zh-CN"/>
        </w:rPr>
      </w:pPr>
    </w:p>
    <w:p>
      <w:pPr>
        <w:spacing w:line="480" w:lineRule="auto"/>
        <w:ind w:right="-693" w:rightChars="-330"/>
        <w:rPr>
          <w:rFonts w:hint="eastAsia" w:ascii="仿宋_GB2312" w:hAnsi="宋体" w:eastAsia="仿宋_GB2312"/>
          <w:b/>
          <w:bCs/>
          <w:sz w:val="28"/>
          <w:lang w:val="en-US" w:eastAsia="zh-CN"/>
        </w:rPr>
      </w:pPr>
    </w:p>
    <w:p>
      <w:pPr>
        <w:spacing w:line="480" w:lineRule="auto"/>
        <w:ind w:right="-693" w:rightChars="-330"/>
        <w:rPr>
          <w:rFonts w:hint="default" w:ascii="仿宋_GB2312" w:hAnsi="宋体" w:eastAsia="仿宋_GB2312"/>
          <w:b/>
          <w:bCs/>
          <w:sz w:val="28"/>
          <w:lang w:val="en-US" w:eastAsia="zh-CN"/>
        </w:rPr>
      </w:pPr>
      <w:r>
        <w:rPr>
          <w:rFonts w:hint="eastAsia" w:ascii="仿宋_GB2312" w:hAnsi="宋体" w:eastAsia="仿宋_GB2312"/>
          <w:b/>
          <w:bCs/>
          <w:sz w:val="28"/>
          <w:lang w:val="en-US" w:eastAsia="zh-CN"/>
        </w:rPr>
        <w:t>3.课程建设</w:t>
      </w:r>
    </w:p>
    <w:tbl>
      <w:tblPr>
        <w:tblStyle w:val="4"/>
        <w:tblW w:w="8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80" w:type="dxa"/>
          </w:tcPr>
          <w:p>
            <w:pPr>
              <w:ind w:right="-107" w:rightChars="-51"/>
              <w:rPr>
                <w:rFonts w:asciiTheme="majorEastAsia" w:hAnsiTheme="majorEastAsia" w:eastAsiaTheme="majorEastAsia"/>
              </w:rPr>
            </w:pPr>
            <w:r>
              <w:rPr>
                <w:rFonts w:hint="eastAsia" w:asciiTheme="majorEastAsia" w:hAnsiTheme="majorEastAsia" w:eastAsiaTheme="majorEastAsia"/>
              </w:rPr>
              <w:t>详细介绍课程的性质与作用，设计的理念与思路，对专业建设与发展的定位与作用，持续建设和更新情况，以及转型升级为资源共享课情况：</w:t>
            </w:r>
          </w:p>
          <w:p>
            <w:pPr>
              <w:ind w:firstLine="420" w:firstLineChars="200"/>
              <w:jc w:val="left"/>
              <w:rPr>
                <w:rFonts w:hint="eastAsia" w:ascii="仿宋_GB2312" w:hAnsi="宋体" w:eastAsia="仿宋_GB2312"/>
                <w:lang w:val="en-US" w:eastAsia="zh-CN"/>
              </w:rPr>
            </w:pPr>
            <w:r>
              <w:rPr>
                <w:rFonts w:hint="eastAsia" w:ascii="仿宋_GB2312" w:hAnsi="宋体" w:eastAsia="仿宋_GB2312"/>
                <w:lang w:val="en-US" w:eastAsia="zh-CN"/>
              </w:rPr>
              <w:t>学校高度重视师德师风建设，将“依法从教、以德建校”放在各项工作的首位，坚持“德高为范，德行天下”的道德追求，制定《安徽扬子职业技术学院师训两百条》和《教书育人条例》，下发《关于进一步加强和改进师德师风建设的实施意见》的通知，完善学校师德师风建设的规范。在全校范围内开展了评选先进、树立典型、师德师风建设会议、师德师风建设大讨论等活动，引导教师以德立身、以德立学、以德施教、以德育德、德行至上、教好书、育好人，教书与育人相统一、言传与身教相统一、潜心问道与关注社会相统一、学术自由与学术规范相统一，争做“四有”好教师。</w:t>
            </w:r>
          </w:p>
          <w:p>
            <w:pPr>
              <w:ind w:firstLine="420" w:firstLineChars="200"/>
              <w:jc w:val="left"/>
              <w:rPr>
                <w:rFonts w:hint="eastAsia" w:ascii="仿宋_GB2312" w:hAnsi="宋体" w:eastAsia="仿宋_GB2312"/>
                <w:lang w:val="en-US" w:eastAsia="zh-CN"/>
              </w:rPr>
            </w:pPr>
            <w:r>
              <w:rPr>
                <w:rFonts w:hint="eastAsia" w:ascii="仿宋_GB2312" w:hAnsi="宋体" w:eastAsia="仿宋_GB2312"/>
                <w:lang w:val="en-US" w:eastAsia="zh-CN"/>
              </w:rPr>
              <w:t>结合专业特点，推进课程思政建设</w:t>
            </w:r>
          </w:p>
          <w:p>
            <w:pPr>
              <w:ind w:firstLine="420" w:firstLineChars="200"/>
              <w:jc w:val="left"/>
              <w:rPr>
                <w:rFonts w:hint="eastAsia" w:ascii="仿宋_GB2312" w:hAnsi="宋体" w:eastAsia="仿宋_GB2312"/>
                <w:lang w:val="en-US" w:eastAsia="zh-CN"/>
              </w:rPr>
            </w:pPr>
            <w:r>
              <w:rPr>
                <w:rFonts w:hint="eastAsia" w:ascii="仿宋_GB2312" w:hAnsi="宋体" w:eastAsia="仿宋_GB2312"/>
                <w:lang w:val="en-US" w:eastAsia="zh-CN"/>
              </w:rPr>
              <w:t>为贯彻落实中共中央办公厅、国务院办公厅《关于深化新时代学校思想政治理论课改革创新的若干意见》，把思想政治教育贯穿人才培养体系，学校结合各专业特点，分类推进课程思政建设。</w:t>
            </w:r>
          </w:p>
          <w:p>
            <w:pPr>
              <w:ind w:firstLine="420" w:firstLineChars="200"/>
              <w:jc w:val="left"/>
              <w:rPr>
                <w:rFonts w:ascii="仿宋_GB2312" w:hAnsi="宋体" w:eastAsia="仿宋_GB2312"/>
                <w:sz w:val="28"/>
              </w:rPr>
            </w:pPr>
            <w:r>
              <w:rPr>
                <w:rFonts w:hint="eastAsia" w:ascii="仿宋_GB2312" w:hAnsi="宋体" w:eastAsia="仿宋_GB2312"/>
                <w:lang w:val="en-US" w:eastAsia="zh-CN"/>
              </w:rPr>
              <w:t>在工学类专业课程方面，把马克思主义立场观点方法的教育与科学精神的培养结合起来，提高学生正确认识问题、分析问题和解决问题的能力，注重强化学生工程伦理教育，培养学生精益求精的大国工匠精神，激发学生科技报国的家国情怀和使命担当。在管理学类专业课程方面，在课程教学中坚持以马克思主义为指导，帮助学生了解专业和行业领域的国家战略、法律法规和相关政策，引导学生深入社会实践、关注现实问题，培育学生经世济民、诚信服务、德法兼修的职业素养。在艺术学类专业课程方面，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在学前教育专业课程方面，在课程教学中注重加强师德师风教育，突出课堂育德、典型树德、规则立德。培育爱国守法、规范从教的职业操守，培养学生传道情怀、授业底蕴、解惑能力，把对家国的爱、对教育的爱、对学生的爱融为一体，自觉以德立身、以德立学、以德施教，争做有理想信念、有道德情操、有扎实学识、有仁爱之心的“四有”好老师。</w:t>
            </w:r>
          </w:p>
          <w:p>
            <w:pPr>
              <w:rPr>
                <w:rFonts w:ascii="仿宋_GB2312" w:hAnsi="宋体" w:eastAsia="仿宋_GB2312"/>
                <w:sz w:val="28"/>
              </w:rPr>
            </w:pPr>
          </w:p>
        </w:tc>
      </w:tr>
    </w:tbl>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r>
        <w:rPr>
          <w:rFonts w:ascii="仿宋_GB2312" w:hAnsi="宋体" w:eastAsia="仿宋_GB2312"/>
          <w:b/>
          <w:bCs/>
          <w:sz w:val="28"/>
        </w:rPr>
        <w:t>4</w:t>
      </w:r>
      <w:r>
        <w:rPr>
          <w:rFonts w:hint="eastAsia" w:ascii="仿宋_GB2312" w:hAnsi="宋体" w:eastAsia="仿宋_GB2312"/>
          <w:b/>
          <w:bCs/>
          <w:sz w:val="28"/>
        </w:rPr>
        <w:t>．课程内容</w:t>
      </w:r>
    </w:p>
    <w:tbl>
      <w:tblPr>
        <w:tblStyle w:val="4"/>
        <w:tblW w:w="8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51" w:type="dxa"/>
          </w:tcPr>
          <w:p>
            <w:pPr>
              <w:ind w:right="-107" w:rightChars="-51"/>
              <w:rPr>
                <w:rFonts w:hint="eastAsia" w:asciiTheme="majorEastAsia" w:hAnsiTheme="majorEastAsia" w:eastAsiaTheme="majorEastAsia"/>
              </w:rPr>
            </w:pPr>
            <w:r>
              <w:rPr>
                <w:rFonts w:hint="eastAsia" w:asciiTheme="majorEastAsia" w:hAnsiTheme="majorEastAsia" w:eastAsiaTheme="majorEastAsia"/>
              </w:rPr>
              <w:t>课程内容的针对性与适用性、教学内容的组织与安排、教学模式的设计与创新、实践教学条件的建设与使用等: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毛泽东思想和中国特色社会主义理论体系概论》是教育部规定的高职高专学生思想政治教育的公共必修课程，通过讲授马克思主义中国化的理论成果，帮助学生系统掌握毛泽东思想和中国特色社会主义理论体系的基本观点和基本原理，坚定在党的领导下走中国特色社会主义道路的理想信念。高学生运用马克思主义的基本立场、观点和方法从纷繁复杂的社会现象中认识事物的本质和规律的能力，最终达到培养面向生产、建设、服务和管理第一线需要的高素质技能人才。</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作为高职大专院校遵照教育部有关精神，开设《思想道德修养与法律基础》、《毛泽东思想和中国特色社会主义理论体系概论》两门思想政治理论课和《形势与政策》课，在专升本有关专业思政课增设《中国近代史纲要》和《马克思主义基本原理概论》课程，所有思政课的教材使用高教出版社的马克思主义理论研究和建设工程重点教材。</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对于原《毛泽东思想和中国特色社会主义理论体系概论》中第八章习近平新时代中国特色社会主义思想及其历史地位问题，首先，进行小小的调整增加一定的课时数，在过去讲课基础上，增加适当内容进一步详细讲清习近平新时代中国特色社会主义思想理论问题。在《形势与政策》课以及党课中进一步阐述习近平新时代中国特色社会主义思想理论问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毛泽东思想和中国特色社会主义理论体系概论》是中宣部、教育部规定的高校思想政治理论课的核心课程，是对大学生系统进行思想政治教育的主渠道和主阵地。课程共由十四章三个部分组成，第一部分毛泽东思想分为四章，第一章讲述毛泽东思想及其历史地位，第二章到第四章分别讲述新民主主义理论、社会主义改造理论、中国社会主义建设道路初步探索的理论成果。第二部分以三章分别阐述邓小平理论、“三个代表”重要思想、科学发展观各自形成的社会历史条件、形成发展过程、主要内容和历史地位。第三部分主要阐述习近平新时代中国特色社会主义思想，共分七章，内容包括：习近平新时代中国特色社会主义思想及其历史地位、坚持和发展中国特色社会主义的总任务、“五位一体”总布局、“四个全面”战略布局、全面推进国防和军队现代化、中国特色大国外交、坚持和加强党的领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p>
          <w:p>
            <w:pPr>
              <w:spacing w:line="480" w:lineRule="auto"/>
              <w:ind w:right="-693" w:rightChars="-330"/>
              <w:rPr>
                <w:rFonts w:hint="eastAsia" w:ascii="仿宋_GB2312" w:hAnsi="宋体" w:eastAsia="仿宋_GB2312"/>
                <w:b/>
                <w:bCs/>
                <w:sz w:val="28"/>
              </w:rPr>
            </w:pPr>
          </w:p>
          <w:p>
            <w:pPr>
              <w:spacing w:line="480" w:lineRule="auto"/>
              <w:ind w:right="-693" w:rightChars="-330"/>
              <w:rPr>
                <w:rFonts w:hint="eastAsia" w:ascii="仿宋_GB2312" w:hAnsi="宋体" w:eastAsia="仿宋_GB2312"/>
                <w:b/>
                <w:bCs/>
                <w:sz w:val="28"/>
              </w:rPr>
            </w:pPr>
          </w:p>
          <w:p>
            <w:pPr>
              <w:spacing w:line="480" w:lineRule="auto"/>
              <w:ind w:right="-693" w:rightChars="-330"/>
              <w:rPr>
                <w:rFonts w:hint="eastAsia" w:ascii="仿宋_GB2312" w:hAnsi="宋体" w:eastAsia="仿宋_GB2312"/>
                <w:b/>
                <w:bCs/>
                <w:sz w:val="28"/>
              </w:rPr>
            </w:pPr>
          </w:p>
          <w:p>
            <w:pPr>
              <w:spacing w:line="480" w:lineRule="auto"/>
              <w:ind w:right="-693" w:rightChars="-330"/>
              <w:rPr>
                <w:rFonts w:hint="eastAsia" w:ascii="仿宋_GB2312" w:hAnsi="宋体" w:eastAsia="仿宋_GB2312"/>
                <w:b/>
                <w:bCs/>
                <w:sz w:val="28"/>
              </w:rPr>
            </w:pPr>
          </w:p>
          <w:p>
            <w:pPr>
              <w:spacing w:line="480" w:lineRule="auto"/>
              <w:ind w:right="-693" w:rightChars="-330"/>
              <w:rPr>
                <w:rFonts w:hint="eastAsia" w:ascii="仿宋_GB2312" w:hAnsi="宋体" w:eastAsia="仿宋_GB2312"/>
                <w:b/>
                <w:bCs/>
                <w:sz w:val="28"/>
              </w:rPr>
            </w:pPr>
          </w:p>
          <w:p>
            <w:pPr>
              <w:spacing w:line="480" w:lineRule="auto"/>
              <w:ind w:right="-693" w:rightChars="-330"/>
              <w:rPr>
                <w:rFonts w:hint="eastAsia" w:ascii="仿宋_GB2312" w:hAnsi="宋体" w:eastAsia="仿宋_GB2312"/>
                <w:b/>
                <w:bCs/>
                <w:sz w:val="28"/>
              </w:rPr>
            </w:pPr>
          </w:p>
        </w:tc>
      </w:tr>
    </w:tbl>
    <w:p>
      <w:pPr>
        <w:spacing w:line="480" w:lineRule="auto"/>
        <w:ind w:right="-693" w:rightChars="-330"/>
        <w:rPr>
          <w:rFonts w:ascii="仿宋_GB2312" w:hAnsi="宋体" w:eastAsia="仿宋_GB2312"/>
          <w:b/>
          <w:bCs/>
          <w:sz w:val="28"/>
        </w:rPr>
      </w:pPr>
      <w:r>
        <w:rPr>
          <w:rFonts w:ascii="仿宋_GB2312" w:hAnsi="宋体" w:eastAsia="仿宋_GB2312"/>
          <w:b/>
          <w:bCs/>
          <w:sz w:val="28"/>
        </w:rPr>
        <w:t>5</w:t>
      </w:r>
      <w:r>
        <w:rPr>
          <w:rFonts w:hint="eastAsia" w:ascii="仿宋_GB2312" w:hAnsi="宋体" w:eastAsia="仿宋_GB2312"/>
          <w:b/>
          <w:bCs/>
          <w:sz w:val="28"/>
        </w:rPr>
        <w:t>．课程资源</w:t>
      </w:r>
    </w:p>
    <w:tbl>
      <w:tblPr>
        <w:tblStyle w:val="4"/>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资源特色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jc w:val="center"/>
        </w:trPr>
        <w:tc>
          <w:tcPr>
            <w:tcW w:w="8672"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（一）坚持党的领导，完善法人治理结构</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学校董事会对党建工作高度重视，建立并实施党政联席会议制度，坚持每周召开以董事长、副董事长、党委书记、院长四人参加的联席会议，明确党政联席会议是最高决策会议，涉及学院办学方向、学院规划、重大事件安排等都必须通过该会议商讨并决定。董事长任职党委委员，院长任职党委副书记，党委书记在董事会任职，实现交叉任职，董事会、行政、党委三股劲拧成一股绳，力朝一处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（二）强化组织建设，发挥战斗堡垒作用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学校严格按照党章及上级党委精神，强化党组织建设，进一步优化基层党支部设置，设置11个支部，实现了对二级机构党建工作全覆盖。完善院部、群团组织设置，设置院部团委，学生组织。明确二级学院党支部书记为二级学院负责人，二级学院所有重大决定需由党政联席会决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（三）领导思政德育，巩固意识形态阵地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推进中国特色社会主义理论体系进课堂、进头脑，加强教材、教师、教学体系建设，按有关课程标准，优选经依法审定的思想政治课和德育课教材，保证足够的教学时间。重视师德师风建设。将思想政治要求纳入教师日常管理，定期评估学校师德师风情况。加强思想政治工作者队伍建设，设立马克主义学院作为思想政治教育和德育工作机构，配强辅导员、班主任、思想政治课教师等工作力量。</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（四）加强理论学习，坚持“两学一做”</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学校各级党组织坚持开展内容丰富，形式多样的理论学习。坚持中心组理论学习、中心组扩大学习、二级学院参与中心组学习制度，采取专题报告、心得交流、走出去请进来、观看相关视频等方式，使学习的效果更好，参与度更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二、深入实践校企合作协同育人模式，彰显产教融合特色。</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学校坚持以服务地方发展为宗旨，紧紧围绕芜湖市经济转型产业、产业升级对高素质技术技能人才的需求，以校企合作、产教融合为平台，推进教育教学改革，创新人才培养模式，不断提升人才培养质量和服务区域经济发展的能力。</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（一）主动对接融入，培养产业需求人才</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在专业建设方面，与产业需求对接。建立科学合理的专业动态调整机制，成立由行业企业专家参与组成的专业建设委员会，根据区域产业发展需要和专业实际修订专业人才培养方案，明确培养目标，规范课程设置，合理安排学时，强化实践环节，严格毕业要求，促进书证融通，加强分类指导。</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在课程内容方面，与职业标准对接。在各专业建设指导委员会的指导下，加强课程内容建设，参照高职院校专业教学标准，在专业技能课程内容设计上参考职业标准，教学内容以职业岗位（群）要求为基础，根据企业生产、建设、管理、服务一线实际需要“了解哪些知识、掌握什么样的技术、具备哪些能力”来确定专业技能课程项目的任务内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在教学过程方面，与生产过程对接。学习借鉴格力、奇瑞等标志性合作企业的“新工厂”工作任务、工作流程，实施以职业活动为导向的课程内容、以行动为导向的教学方法、以能力为导向的考核方式，以任务、项目、案例、产品等为载体构建知识能力训练项目。将企业生产过程进行教学化处理，学生在完成一个具体学习性任务的过程中学习知识和训练技能，亲身体验学习的过程和成果。</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仿宋_GB2312" w:hAnsi="宋体" w:eastAsia="仿宋_GB2312"/>
                <w:lang w:val="en-US" w:eastAsia="zh-CN"/>
              </w:rPr>
            </w:pPr>
            <w:r>
              <w:rPr>
                <w:rFonts w:hint="eastAsia" w:ascii="仿宋_GB2312" w:hAnsi="宋体" w:eastAsia="仿宋_GB2312"/>
                <w:lang w:val="en-US" w:eastAsia="zh-CN"/>
              </w:rPr>
              <w:t>（二）产教共同融合，实现共赢共生局面</w:t>
            </w:r>
          </w:p>
          <w:p>
            <w:pPr>
              <w:ind w:firstLine="420" w:firstLineChars="200"/>
              <w:jc w:val="left"/>
              <w:rPr>
                <w:rFonts w:hint="eastAsia" w:ascii="仿宋_GB2312" w:hAnsi="宋体" w:eastAsia="仿宋_GB2312"/>
                <w:lang w:val="en-US" w:eastAsia="zh-CN"/>
              </w:rPr>
            </w:pPr>
            <w:r>
              <w:rPr>
                <w:rFonts w:hint="eastAsia" w:ascii="仿宋_GB2312" w:hAnsi="宋体" w:eastAsia="仿宋_GB2312"/>
                <w:lang w:val="en-US" w:eastAsia="zh-CN"/>
              </w:rPr>
              <w:t>共同打造“工匠式、双师素质”教师团队。推动校企共享资源，搭建“双师型”教师培养培训基地。引进装备制造行业、企业中的高级技术技能人才和能工巧匠担任兼职教师，并将其纳入专业教学团队，承担部分专业技能课程，本校专任教师有更多时间深入行业企业一线进行挂职锻炼与实践，与企业工程技术人员开展科技攻关与项目合作，为企业解决生产过程中的技术难题。</w:t>
            </w:r>
          </w:p>
          <w:p>
            <w:pPr>
              <w:ind w:firstLine="420" w:firstLineChars="200"/>
              <w:jc w:val="left"/>
              <w:rPr>
                <w:rFonts w:hint="eastAsia" w:ascii="仿宋_GB2312" w:hAnsi="宋体" w:eastAsia="仿宋_GB2312"/>
                <w:lang w:val="en-US" w:eastAsia="zh-CN"/>
              </w:rPr>
            </w:pPr>
            <w:r>
              <w:rPr>
                <w:rFonts w:hint="eastAsia" w:ascii="仿宋_GB2312" w:hAnsi="宋体" w:eastAsia="仿宋_GB2312"/>
                <w:lang w:val="en-US" w:eastAsia="zh-CN"/>
              </w:rPr>
              <w:t>共建共建高水平产教融合校外实训基地。与格力电器、美的厨卫、玉柴动力联合、美智空调等企业共建共享集“实践教学、师资培养、职业技能培训、员工入职培训和产教协同创新”于一体的高水平专业化校外产教融合实训基地。</w:t>
            </w:r>
          </w:p>
          <w:p>
            <w:pPr>
              <w:ind w:firstLine="420" w:firstLineChars="200"/>
              <w:jc w:val="left"/>
              <w:rPr>
                <w:rFonts w:hint="eastAsia" w:ascii="仿宋_GB2312" w:hAnsi="宋体" w:eastAsia="仿宋_GB2312"/>
                <w:lang w:val="en-US" w:eastAsia="zh-CN"/>
              </w:rPr>
            </w:pPr>
            <w:r>
              <w:rPr>
                <w:rFonts w:hint="eastAsia" w:ascii="仿宋_GB2312" w:hAnsi="宋体" w:eastAsia="仿宋_GB2312"/>
                <w:lang w:val="en-US" w:eastAsia="zh-CN"/>
              </w:rPr>
              <w:t>联合开展分类招生与企业招工。在分类招生季节“邀企入校”， 邀请行业骨干企业参与制定招生工作方案，联合开展招生宣传，由企业人事、生产、营销、技术研发人员组成的工作团队为参加分类招生校考学生答疑解惑，讲解企业用人需求、用人标准、职业发展前景等。在毕业就业季“引企入校”，校企联合开展“就业双选会”、“企业专场宣讲会”，助力企业开展招工宣传，帮助企业破解生产旺季招工难、用工荒的人力资源问题。联合区域、行业骨干企业成立产教融合联盟，召开产教融合联盟会议，下设校企合作理事会，成员包括格力电器、美的电器、玉柴联合动力、美的厨卫、美智空调、奇瑞汽车、长信科技等30余家企业。校企双方签订全方位战略合作协议，以人才培养为依托，以校企双赢为基本目的，促进学院与企业零距离对接，形成院校与企业之间良性互动、共同发展的新局面。</w:t>
            </w:r>
          </w:p>
          <w:p>
            <w:pPr>
              <w:ind w:firstLine="420" w:firstLineChars="200"/>
              <w:jc w:val="left"/>
              <w:rPr>
                <w:rFonts w:hint="eastAsia" w:ascii="仿宋_GB2312" w:hAnsi="宋体" w:eastAsia="仿宋_GB2312"/>
                <w:sz w:val="24"/>
              </w:rPr>
            </w:pPr>
            <w:r>
              <w:rPr>
                <w:rFonts w:hint="eastAsia" w:ascii="仿宋_GB2312" w:hAnsi="宋体" w:eastAsia="仿宋_GB2312"/>
                <w:lang w:val="en-US" w:eastAsia="zh-CN"/>
              </w:rPr>
              <w:t>我们使用的教材是高教出版社2018年修订版（最新版）。是由教育部统编、规定使用的马克思主义理论研究和建设工程重点教材，具有科学性、权威性和严肃性的特点。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基本资源清单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72" w:type="dxa"/>
          </w:tcPr>
          <w:p>
            <w:pPr>
              <w:ind w:firstLine="420" w:firstLineChars="200"/>
              <w:jc w:val="left"/>
              <w:rPr>
                <w:rFonts w:ascii="仿宋_GB2312" w:hAnsi="宋体" w:eastAsia="仿宋_GB2312"/>
                <w:sz w:val="24"/>
              </w:rPr>
            </w:pPr>
            <w:r>
              <w:rPr>
                <w:rFonts w:hint="eastAsia" w:ascii="仿宋_GB2312" w:hAnsi="宋体" w:eastAsia="仿宋_GB2312"/>
                <w:lang w:val="en-US" w:eastAsia="zh-CN"/>
              </w:rPr>
              <w:t>本课程教学资源库包括：教学大纲、电子教案、教学课件PPT、习题集、习题库、优秀教师授课视频、教师授课课程表等。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672" w:type="dxa"/>
            <w:vAlign w:val="center"/>
          </w:tcPr>
          <w:p>
            <w:pPr>
              <w:jc w:val="center"/>
              <w:rPr>
                <w:rFonts w:ascii="仿宋_GB2312" w:hAnsi="宋体" w:eastAsia="仿宋_GB2312"/>
                <w:sz w:val="24"/>
              </w:rPr>
            </w:pPr>
            <w:r>
              <w:rPr>
                <w:rFonts w:hint="eastAsia" w:ascii="仿宋_GB2312" w:hAnsi="宋体" w:eastAsia="仿宋_GB2312"/>
                <w:sz w:val="24"/>
              </w:rPr>
              <w:t>拓展资源清单及建设使用情况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8672" w:type="dxa"/>
          </w:tcPr>
          <w:p>
            <w:pPr>
              <w:jc w:val="left"/>
              <w:rPr>
                <w:rFonts w:ascii="仿宋_GB2312" w:hAnsi="宋体" w:eastAsia="仿宋_GB2312"/>
                <w:sz w:val="24"/>
              </w:rPr>
            </w:pPr>
            <w:r>
              <w:rPr>
                <w:rFonts w:hint="eastAsia" w:ascii="仿宋_GB2312" w:hAnsi="宋体" w:eastAsia="仿宋_GB2312"/>
                <w:lang w:val="en-US" w:eastAsia="zh-CN"/>
              </w:rPr>
              <w:t>拓展资源主要包括：动画、授课视频、文档。</w:t>
            </w:r>
          </w:p>
        </w:tc>
      </w:tr>
    </w:tbl>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r>
        <w:rPr>
          <w:rFonts w:ascii="仿宋_GB2312" w:hAnsi="宋体" w:eastAsia="仿宋_GB2312"/>
          <w:b/>
          <w:bCs/>
          <w:sz w:val="28"/>
        </w:rPr>
        <w:t>6</w:t>
      </w:r>
      <w:r>
        <w:rPr>
          <w:rFonts w:hint="eastAsia" w:ascii="仿宋_GB2312" w:hAnsi="宋体" w:eastAsia="仿宋_GB2312"/>
          <w:b/>
          <w:bCs/>
          <w:sz w:val="28"/>
        </w:rPr>
        <w:t>．课程评价</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4" w:hRule="atLeast"/>
        </w:trPr>
        <w:tc>
          <w:tcPr>
            <w:tcW w:w="8234" w:type="dxa"/>
          </w:tcPr>
          <w:p>
            <w:pPr>
              <w:ind w:right="-107" w:rightChars="-51"/>
              <w:rPr>
                <w:rFonts w:ascii="仿宋_GB2312" w:hAnsi="宋体" w:eastAsia="仿宋_GB2312"/>
              </w:rPr>
            </w:pPr>
            <w:r>
              <w:rPr>
                <w:rFonts w:hint="eastAsia" w:ascii="仿宋_GB2312" w:hAnsi="宋体" w:eastAsia="仿宋_GB2312"/>
              </w:rPr>
              <w:t>自我评价、同行评价、行业企业专家评价、学生评价、社会使用评价等:</w:t>
            </w:r>
          </w:p>
          <w:p>
            <w:pPr>
              <w:ind w:firstLine="420" w:firstLineChars="200"/>
              <w:jc w:val="left"/>
              <w:rPr>
                <w:rFonts w:hint="default" w:ascii="仿宋_GB2312" w:hAnsi="宋体" w:eastAsia="仿宋_GB2312"/>
                <w:lang w:val="en-US" w:eastAsia="zh-CN"/>
              </w:rPr>
            </w:pPr>
            <w:r>
              <w:rPr>
                <w:rFonts w:hint="eastAsia" w:ascii="仿宋_GB2312" w:hAnsi="宋体" w:eastAsia="仿宋_GB2312"/>
                <w:lang w:val="en-US" w:eastAsia="zh-CN"/>
              </w:rPr>
              <w:t>由于我院思想政治理论课教师多为年轻教师，为此学院特实行“导师制”，由基础部的教授领导们担任在职的思政教师“导师”，给予我们年轻教师指导，在领导们的辛勤付出下，我们的教学能力有了很大提高。考虑到我院为高职院校，大部分学生的思想政治理论水平基础较为薄弱，我们在教学过程中更加注重将理论内容以浅显易懂的形式呈现给学生，更多的结合案例给学生进行理论的讲解，并且强调学生参与课堂讨论，把课堂的主体真正回归到到学生，以学生的理解程度来衡量课堂教学效果。</w:t>
            </w:r>
          </w:p>
          <w:p>
            <w:pPr>
              <w:ind w:firstLine="420" w:firstLineChars="200"/>
              <w:jc w:val="left"/>
              <w:rPr>
                <w:rFonts w:hint="eastAsia" w:ascii="仿宋_GB2312" w:hAnsi="宋体" w:eastAsia="仿宋_GB2312"/>
                <w:lang w:val="en-US" w:eastAsia="zh-CN"/>
              </w:rPr>
            </w:pPr>
            <w:r>
              <w:rPr>
                <w:rFonts w:hint="eastAsia" w:ascii="仿宋_GB2312" w:hAnsi="宋体" w:eastAsia="仿宋_GB2312"/>
                <w:lang w:val="en-US" w:eastAsia="zh-CN"/>
              </w:rPr>
              <w:t>我校提出的“导师制”教学管理理念较为先进。通过与兄弟院校的沟通和交流，我校的这些教学理念得到了许多院校领导和同仁的肯定。本课程在教学理念、教学方法的探索与改革、课程总体设计、教材建设等方面结合我院学生的特点因材施教具有一些独到之处，但在科学研究、科研论文、创新能力培养等方面与国内外同类课程尚有一定差距。</w:t>
            </w:r>
          </w:p>
          <w:p>
            <w:pPr>
              <w:ind w:firstLine="420" w:firstLineChars="200"/>
              <w:rPr>
                <w:rFonts w:hint="eastAsia" w:ascii="仿宋_GB2312" w:hAnsi="宋体" w:eastAsia="仿宋_GB2312"/>
                <w:lang w:val="en-US" w:eastAsia="zh-CN"/>
              </w:rPr>
            </w:pPr>
            <w:r>
              <w:rPr>
                <w:rFonts w:hint="eastAsia" w:ascii="仿宋_GB2312" w:hAnsi="宋体" w:eastAsia="仿宋_GB2312"/>
                <w:lang w:val="en-US" w:eastAsia="zh-CN"/>
              </w:rPr>
              <w:t>我院学生对《毛泽东思想和中国特色社会主义理论体系概论》课程给予了较高的评价：在教学过程中，老师讲课思路清晰、重点突出，教学手段灵活，PPT与板书教学相结合，教学案例实效新颖，更能第一时间抓住学生的专注力。与此同时，我院教师在上课时十分重视理论与实践的结合，引导学生利用所学知识解决实际问题，激发了他们的学习热情，培养了他们学习的主动性。</w:t>
            </w:r>
          </w:p>
          <w:p>
            <w:pPr>
              <w:rPr>
                <w:rFonts w:hint="eastAsia" w:ascii="仿宋_GB2312" w:hAnsi="宋体" w:eastAsia="仿宋_GB2312"/>
                <w:lang w:val="en-US" w:eastAsia="zh-CN"/>
              </w:rPr>
            </w:pPr>
          </w:p>
          <w:p>
            <w:pPr>
              <w:rPr>
                <w:rFonts w:hint="eastAsia" w:ascii="仿宋_GB2312" w:hAnsi="宋体" w:eastAsia="仿宋_GB2312"/>
                <w:lang w:val="en-US" w:eastAsia="zh-CN"/>
              </w:rPr>
            </w:pPr>
          </w:p>
          <w:p>
            <w:pPr>
              <w:rPr>
                <w:rFonts w:hint="eastAsia" w:ascii="仿宋_GB2312" w:hAnsi="宋体" w:eastAsia="仿宋_GB2312"/>
                <w:lang w:val="en-US" w:eastAsia="zh-CN"/>
              </w:rPr>
            </w:pPr>
          </w:p>
          <w:p>
            <w:pPr>
              <w:rPr>
                <w:rFonts w:hint="eastAsia" w:ascii="仿宋_GB2312" w:hAnsi="宋体" w:eastAsia="仿宋_GB2312"/>
                <w:lang w:val="en-US" w:eastAsia="zh-CN"/>
              </w:rPr>
            </w:pPr>
          </w:p>
        </w:tc>
      </w:tr>
    </w:tbl>
    <w:p>
      <w:pPr>
        <w:spacing w:line="480" w:lineRule="auto"/>
        <w:ind w:right="-693" w:rightChars="-330"/>
        <w:rPr>
          <w:rFonts w:ascii="仿宋_GB2312" w:hAnsi="宋体" w:eastAsia="仿宋_GB2312"/>
          <w:b/>
          <w:bCs/>
          <w:sz w:val="28"/>
        </w:rPr>
      </w:pPr>
    </w:p>
    <w:p>
      <w:pPr>
        <w:spacing w:line="480" w:lineRule="auto"/>
        <w:ind w:right="-693" w:rightChars="-330"/>
        <w:rPr>
          <w:rFonts w:ascii="仿宋_GB2312" w:hAnsi="宋体" w:eastAsia="仿宋_GB2312"/>
          <w:b/>
          <w:bCs/>
          <w:sz w:val="28"/>
        </w:rPr>
      </w:pPr>
      <w:r>
        <w:rPr>
          <w:rFonts w:ascii="仿宋_GB2312" w:hAnsi="宋体" w:eastAsia="仿宋_GB2312"/>
          <w:b/>
          <w:bCs/>
          <w:sz w:val="28"/>
        </w:rPr>
        <w:t>7</w:t>
      </w:r>
      <w:r>
        <w:rPr>
          <w:rFonts w:hint="eastAsia" w:ascii="仿宋_GB2312" w:hAnsi="宋体" w:eastAsia="仿宋_GB2312"/>
          <w:b/>
          <w:bCs/>
          <w:sz w:val="28"/>
        </w:rPr>
        <w:t>．系部政策支持</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3" w:hRule="atLeast"/>
        </w:trPr>
        <w:tc>
          <w:tcPr>
            <w:tcW w:w="8640" w:type="dxa"/>
          </w:tcPr>
          <w:p>
            <w:pPr>
              <w:ind w:right="-107" w:rightChars="-51"/>
              <w:rPr>
                <w:rFonts w:asciiTheme="majorEastAsia" w:hAnsiTheme="majorEastAsia" w:eastAsiaTheme="majorEastAsia"/>
              </w:rPr>
            </w:pPr>
            <w:r>
              <w:rPr>
                <w:rFonts w:hint="eastAsia" w:asciiTheme="majorEastAsia" w:hAnsiTheme="majorEastAsia" w:eastAsiaTheme="majorEastAsia"/>
              </w:rPr>
              <w:t>详述系部对本课程已落实的政策支持与措施，对下一步深入推进建设新的政策承诺与措施设计:</w:t>
            </w:r>
          </w:p>
          <w:p>
            <w:pPr>
              <w:ind w:firstLine="420" w:firstLineChars="200"/>
              <w:rPr>
                <w:rFonts w:ascii="仿宋_GB2312" w:hAnsi="宋体" w:eastAsia="仿宋_GB2312"/>
                <w:b/>
                <w:bCs/>
                <w:sz w:val="28"/>
              </w:rPr>
            </w:pPr>
            <w:r>
              <w:rPr>
                <w:rFonts w:hint="eastAsia" w:ascii="仿宋_GB2312" w:hAnsi="宋体" w:eastAsia="仿宋_GB2312"/>
                <w:lang w:val="en-US" w:eastAsia="zh-CN"/>
              </w:rPr>
              <w:t>学院和基础部高度重视思想政治理论课程的建设，并竭力打造《毛泽东思想和中国特色社会主义理论体系概论》精品课程。在本课程软、硬件方面进行了大量的投入，成立了思政教研室，由老带新的形式加速新教师的培养。计划在未来几年将《毛泽东思想和中国特色社会主义理论体系概论》课程按照省级：精品资源共享课程的相关指标进行建设。建设期间教务处、学科教研室、基础部的相关领导、专家将按照计划多次对课程进行检查、督促。</w:t>
            </w:r>
          </w:p>
          <w:p>
            <w:pPr>
              <w:rPr>
                <w:rFonts w:ascii="仿宋_GB2312" w:hAnsi="宋体" w:eastAsia="仿宋_GB2312"/>
                <w:b/>
                <w:bCs/>
                <w:sz w:val="28"/>
              </w:rPr>
            </w:pPr>
          </w:p>
        </w:tc>
      </w:tr>
    </w:tbl>
    <w:p>
      <w:pPr>
        <w:ind w:firstLine="281" w:firstLineChars="100"/>
        <w:rPr>
          <w:rFonts w:ascii="仿宋_GB2312" w:hAnsi="宋体" w:eastAsia="仿宋_GB2312"/>
          <w:b/>
          <w:bCs/>
          <w:sz w:val="28"/>
        </w:rPr>
      </w:pPr>
    </w:p>
    <w:p>
      <w:pPr>
        <w:ind w:firstLine="281" w:firstLineChars="100"/>
        <w:rPr>
          <w:rFonts w:hint="eastAsia" w:ascii="仿宋_GB2312" w:hAnsi="宋体" w:eastAsia="仿宋_GB2312"/>
          <w:b/>
          <w:bCs/>
          <w:sz w:val="28"/>
        </w:rPr>
      </w:pPr>
    </w:p>
    <w:p>
      <w:pPr>
        <w:ind w:firstLine="281" w:firstLineChars="100"/>
        <w:rPr>
          <w:rFonts w:hint="eastAsia" w:ascii="仿宋_GB2312" w:hAnsi="宋体" w:eastAsia="仿宋_GB2312"/>
          <w:b/>
          <w:bCs/>
          <w:sz w:val="28"/>
        </w:rPr>
      </w:pPr>
    </w:p>
    <w:p>
      <w:pPr>
        <w:ind w:firstLine="281" w:firstLineChars="100"/>
        <w:rPr>
          <w:rFonts w:ascii="仿宋_GB2312" w:hAnsi="宋体" w:eastAsia="仿宋_GB2312"/>
          <w:b/>
          <w:bCs/>
          <w:sz w:val="28"/>
        </w:rPr>
      </w:pPr>
      <w:r>
        <w:rPr>
          <w:rFonts w:hint="eastAsia" w:ascii="仿宋_GB2312" w:hAnsi="宋体" w:eastAsia="仿宋_GB2312"/>
          <w:b/>
          <w:bCs/>
          <w:sz w:val="28"/>
        </w:rPr>
        <w:t>8．承诺与责任</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3" w:hRule="atLeast"/>
        </w:trPr>
        <w:tc>
          <w:tcPr>
            <w:tcW w:w="8234" w:type="dxa"/>
          </w:tcPr>
          <w:p>
            <w:pPr>
              <w:spacing w:line="240" w:lineRule="exact"/>
              <w:ind w:firstLine="420" w:firstLineChars="200"/>
              <w:rPr>
                <w:rFonts w:ascii="仿宋_GB2312" w:hAnsi="宋体" w:eastAsia="仿宋_GB2312"/>
                <w:szCs w:val="21"/>
              </w:rPr>
            </w:pPr>
            <w:r>
              <w:rPr>
                <w:rFonts w:hint="eastAsia" w:ascii="仿宋_GB2312" w:hAnsi="宋体" w:eastAsia="仿宋_GB2312"/>
                <w:szCs w:val="21"/>
              </w:rPr>
              <w:t>1．学校和课程负责人保证申报所使用的课程资源知识产权清晰，无侵权使用的情况，若免费共享的基本资源涉及到第三方权益，须将“课程资源使用授权书</w:t>
            </w:r>
            <w:r>
              <w:rPr>
                <w:rFonts w:ascii="仿宋_GB2312" w:hAnsi="宋体" w:eastAsia="仿宋_GB2312"/>
                <w:szCs w:val="21"/>
              </w:rPr>
              <w:t>”</w:t>
            </w:r>
            <w:r>
              <w:rPr>
                <w:rFonts w:hint="eastAsia" w:ascii="仿宋_GB2312" w:hAnsi="宋体" w:eastAsia="仿宋_GB2312"/>
                <w:szCs w:val="21"/>
              </w:rPr>
              <w:t>[注]附后；</w:t>
            </w:r>
          </w:p>
          <w:p>
            <w:pPr>
              <w:spacing w:line="240" w:lineRule="exact"/>
              <w:ind w:firstLine="420" w:firstLineChars="200"/>
              <w:rPr>
                <w:rFonts w:ascii="仿宋_GB2312" w:hAnsi="宋体" w:eastAsia="仿宋_GB2312"/>
                <w:szCs w:val="21"/>
              </w:rPr>
            </w:pPr>
            <w:r>
              <w:rPr>
                <w:rFonts w:hint="eastAsia" w:ascii="仿宋_GB2312" w:hAnsi="宋体" w:eastAsia="仿宋_GB2312"/>
                <w:szCs w:val="21"/>
              </w:rPr>
              <w:t>2．学校和课程负责人保证课程资源内容不存在政治性、思想性、科学性和规范性问题；</w:t>
            </w:r>
          </w:p>
          <w:p>
            <w:pPr>
              <w:spacing w:line="240" w:lineRule="exact"/>
              <w:ind w:firstLine="420" w:firstLineChars="200"/>
              <w:rPr>
                <w:rFonts w:ascii="仿宋_GB2312" w:hAnsi="宋体" w:eastAsia="仿宋_GB2312"/>
                <w:szCs w:val="21"/>
              </w:rPr>
            </w:pPr>
            <w:r>
              <w:rPr>
                <w:rFonts w:hint="eastAsia" w:ascii="仿宋_GB2312" w:hAnsi="宋体" w:eastAsia="仿宋_GB2312"/>
                <w:szCs w:val="21"/>
              </w:rPr>
              <w:t>3．系部和课程负责人保证课程资源及申报材料不涉及国家安全和保密的相关规定，可以在网络上公开传播与使用；</w:t>
            </w:r>
          </w:p>
          <w:p>
            <w:pPr>
              <w:spacing w:line="240" w:lineRule="exact"/>
              <w:ind w:firstLine="420" w:firstLineChars="200"/>
              <w:rPr>
                <w:rFonts w:ascii="仿宋_GB2312" w:hAnsi="宋体" w:eastAsia="仿宋_GB2312"/>
                <w:bCs/>
                <w:color w:val="FF0000"/>
                <w:szCs w:val="21"/>
              </w:rPr>
            </w:pPr>
            <w:r>
              <w:rPr>
                <w:rFonts w:hint="eastAsia" w:ascii="仿宋_GB2312" w:hAnsi="宋体" w:eastAsia="仿宋_GB2312"/>
                <w:szCs w:val="21"/>
              </w:rPr>
              <w:t>4．申报课程入选后，保证基本资源在“阿坝师范高等专科学校教学资源公共服务平台”免费共享。</w:t>
            </w:r>
          </w:p>
          <w:p>
            <w:pPr>
              <w:tabs>
                <w:tab w:val="left" w:pos="2219"/>
              </w:tabs>
              <w:suppressAutoHyphens/>
              <w:spacing w:line="480" w:lineRule="auto"/>
              <w:ind w:right="-692"/>
              <w:rPr>
                <w:rFonts w:ascii="仿宋_GB2312" w:hAnsi="宋体" w:eastAsia="仿宋_GB2312"/>
                <w:bCs/>
                <w:szCs w:val="21"/>
              </w:rPr>
            </w:pP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课程负责人签字：</w:t>
            </w:r>
          </w:p>
          <w:p>
            <w:pPr>
              <w:tabs>
                <w:tab w:val="left" w:pos="2219"/>
              </w:tabs>
              <w:suppressAutoHyphens/>
              <w:spacing w:line="480" w:lineRule="auto"/>
              <w:ind w:right="-692"/>
              <w:rPr>
                <w:rFonts w:ascii="仿宋_GB2312" w:hAnsi="宋体" w:eastAsia="仿宋_GB2312"/>
                <w:bCs/>
                <w:szCs w:val="21"/>
              </w:rPr>
            </w:pPr>
            <w:r>
              <w:rPr>
                <w:rFonts w:hint="eastAsia" w:ascii="仿宋_GB2312" w:hAnsi="宋体" w:eastAsia="仿宋_GB2312"/>
                <w:bCs/>
                <w:szCs w:val="21"/>
              </w:rPr>
              <w:t xml:space="preserve">                                               系部公章：</w:t>
            </w:r>
          </w:p>
          <w:p>
            <w:pPr>
              <w:rPr>
                <w:rFonts w:ascii="仿宋_GB2312" w:hAnsi="宋体" w:eastAsia="仿宋_GB2312"/>
                <w:b/>
                <w:bCs/>
                <w:sz w:val="28"/>
              </w:rPr>
            </w:pPr>
            <w:r>
              <w:rPr>
                <w:rFonts w:hint="eastAsia" w:ascii="仿宋_GB2312" w:hAnsi="宋体" w:eastAsia="仿宋_GB2312"/>
                <w:bCs/>
                <w:szCs w:val="21"/>
              </w:rPr>
              <w:t xml:space="preserve">                                                   日期：</w:t>
            </w:r>
          </w:p>
        </w:tc>
      </w:tr>
    </w:tbl>
    <w:p>
      <w:pPr>
        <w:spacing w:line="480" w:lineRule="auto"/>
        <w:ind w:right="-693" w:rightChars="-330" w:firstLine="141" w:firstLineChars="50"/>
        <w:rPr>
          <w:rFonts w:ascii="仿宋_GB2312" w:hAnsi="宋体" w:eastAsia="仿宋_GB2312"/>
          <w:b/>
          <w:bCs/>
          <w:sz w:val="28"/>
        </w:rPr>
      </w:pPr>
      <w:r>
        <w:rPr>
          <w:rFonts w:hint="eastAsia" w:ascii="仿宋_GB2312" w:hAnsi="宋体" w:eastAsia="仿宋_GB2312"/>
          <w:b/>
          <w:bCs/>
          <w:sz w:val="28"/>
        </w:rPr>
        <w:t>9．系部推荐意见</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640" w:type="dxa"/>
          </w:tcPr>
          <w:p>
            <w:pPr>
              <w:rPr>
                <w:color w:val="FF0000"/>
              </w:rPr>
            </w:pPr>
          </w:p>
          <w:p>
            <w:pPr>
              <w:rPr>
                <w:color w:val="FF0000"/>
              </w:rPr>
            </w:pPr>
          </w:p>
          <w:p>
            <w:pPr>
              <w:spacing w:line="360" w:lineRule="auto"/>
              <w:ind w:right="910" w:firstLine="5460" w:firstLineChars="2600"/>
              <w:rPr>
                <w:rFonts w:eastAsia="仿宋_GB2312"/>
              </w:rPr>
            </w:pPr>
            <w:r>
              <w:rPr>
                <w:rFonts w:hint="eastAsia" w:eastAsia="仿宋_GB2312"/>
              </w:rPr>
              <w:t>二级学院（公章）</w:t>
            </w:r>
          </w:p>
          <w:p>
            <w:pPr>
              <w:spacing w:line="360" w:lineRule="auto"/>
              <w:ind w:right="910" w:firstLine="5355" w:firstLineChars="2550"/>
              <w:rPr>
                <w:rFonts w:eastAsia="仿宋_GB2312"/>
              </w:rPr>
            </w:pPr>
          </w:p>
          <w:p>
            <w:pPr>
              <w:ind w:firstLine="4200" w:firstLineChars="2000"/>
            </w:pPr>
            <w:r>
              <w:rPr>
                <w:rFonts w:hint="eastAsia" w:eastAsia="仿宋_GB2312"/>
              </w:rPr>
              <w:t>责人（签字）</w:t>
            </w:r>
            <w:r>
              <w:rPr>
                <w:rFonts w:eastAsia="仿宋_GB2312"/>
              </w:rPr>
              <w:t>年   月   日</w:t>
            </w:r>
          </w:p>
          <w:p>
            <w:pPr>
              <w:rPr>
                <w:color w:val="FF0000"/>
              </w:rPr>
            </w:pPr>
          </w:p>
        </w:tc>
      </w:tr>
    </w:tbl>
    <w:p>
      <w:pPr>
        <w:rPr>
          <w:rFonts w:ascii="仿宋" w:hAnsi="仿宋" w:eastAsia="仿宋"/>
          <w:b/>
          <w:sz w:val="28"/>
          <w:szCs w:val="28"/>
        </w:rPr>
      </w:pPr>
      <w:r>
        <w:rPr>
          <w:rFonts w:hint="eastAsia" w:ascii="仿宋" w:hAnsi="仿宋" w:eastAsia="仿宋"/>
          <w:b/>
          <w:sz w:val="28"/>
          <w:szCs w:val="28"/>
        </w:rPr>
        <w:t>10.学院审批意见</w:t>
      </w:r>
    </w:p>
    <w:tbl>
      <w:tblPr>
        <w:tblStyle w:val="4"/>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8640" w:type="dxa"/>
          </w:tcPr>
          <w:p>
            <w:pPr>
              <w:rPr>
                <w:color w:val="FF0000"/>
              </w:rPr>
            </w:pPr>
          </w:p>
          <w:p>
            <w:pPr>
              <w:rPr>
                <w:color w:val="FF0000"/>
              </w:rPr>
            </w:pPr>
          </w:p>
          <w:p>
            <w:pPr>
              <w:spacing w:line="360" w:lineRule="auto"/>
              <w:ind w:right="910" w:firstLine="5334" w:firstLineChars="2540"/>
              <w:rPr>
                <w:rFonts w:ascii="仿宋" w:hAnsi="仿宋" w:eastAsia="仿宋"/>
                <w:szCs w:val="21"/>
              </w:rPr>
            </w:pPr>
          </w:p>
          <w:p>
            <w:pPr>
              <w:spacing w:line="360" w:lineRule="auto"/>
              <w:ind w:right="910" w:firstLine="5334" w:firstLineChars="2540"/>
              <w:rPr>
                <w:rFonts w:ascii="仿宋" w:hAnsi="仿宋" w:eastAsia="仿宋"/>
                <w:szCs w:val="21"/>
              </w:rPr>
            </w:pPr>
          </w:p>
          <w:p>
            <w:pPr>
              <w:spacing w:line="360" w:lineRule="auto"/>
              <w:ind w:right="910" w:firstLine="5334" w:firstLineChars="2540"/>
              <w:rPr>
                <w:rFonts w:asciiTheme="majorEastAsia" w:hAnsiTheme="majorEastAsia" w:eastAsiaTheme="majorEastAsia"/>
              </w:rPr>
            </w:pPr>
            <w:r>
              <w:rPr>
                <w:rFonts w:hint="eastAsia" w:eastAsia="仿宋_GB2312"/>
              </w:rPr>
              <w:t>学校（公章）</w:t>
            </w:r>
          </w:p>
          <w:p>
            <w:pPr>
              <w:ind w:firstLine="5355" w:firstLineChars="2550"/>
            </w:pPr>
            <w:r>
              <w:rPr>
                <w:rFonts w:eastAsia="仿宋_GB2312"/>
              </w:rPr>
              <w:t>年   月   日</w:t>
            </w:r>
          </w:p>
          <w:p>
            <w:pPr>
              <w:rPr>
                <w:color w:val="FF0000"/>
              </w:rPr>
            </w:pPr>
          </w:p>
        </w:tc>
      </w:tr>
    </w:tbl>
    <w:p>
      <w:pPr>
        <w:rPr>
          <w:rFonts w:ascii="仿宋" w:hAnsi="仿宋" w:eastAsia="仿宋"/>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japaneseCounting"/>
      <w:lvlText w:val="%1、"/>
      <w:lvlJc w:val="left"/>
      <w:pPr>
        <w:tabs>
          <w:tab w:val="left" w:pos="1080"/>
        </w:tabs>
        <w:ind w:left="1080" w:hanging="720"/>
      </w:pPr>
      <w:rPr>
        <w:rFonts w:hint="eastAsia"/>
      </w:rPr>
    </w:lvl>
    <w:lvl w:ilvl="1" w:tentative="0">
      <w:start w:val="1"/>
      <w:numFmt w:val="decimal"/>
      <w:lvlText w:val="%2．"/>
      <w:lvlJc w:val="left"/>
      <w:pPr>
        <w:tabs>
          <w:tab w:val="left" w:pos="1679"/>
        </w:tabs>
        <w:ind w:left="1679" w:hanging="720"/>
      </w:pPr>
      <w:rPr>
        <w:rFonts w:hint="eastAsia"/>
      </w:rPr>
    </w:lvl>
    <w:lvl w:ilvl="2" w:tentative="0">
      <w:start w:val="1"/>
      <w:numFmt w:val="lowerRoman"/>
      <w:lvlText w:val="%3."/>
      <w:lvlJc w:val="right"/>
      <w:pPr>
        <w:tabs>
          <w:tab w:val="left" w:pos="1799"/>
        </w:tabs>
        <w:ind w:left="1799" w:hanging="420"/>
      </w:pPr>
    </w:lvl>
    <w:lvl w:ilvl="3" w:tentative="0">
      <w:start w:val="1"/>
      <w:numFmt w:val="decimal"/>
      <w:lvlText w:val="%4."/>
      <w:lvlJc w:val="left"/>
      <w:pPr>
        <w:tabs>
          <w:tab w:val="left" w:pos="2219"/>
        </w:tabs>
        <w:ind w:left="2219" w:hanging="420"/>
      </w:pPr>
    </w:lvl>
    <w:lvl w:ilvl="4" w:tentative="0">
      <w:start w:val="1"/>
      <w:numFmt w:val="lowerLetter"/>
      <w:lvlText w:val="%5)"/>
      <w:lvlJc w:val="left"/>
      <w:pPr>
        <w:tabs>
          <w:tab w:val="left" w:pos="2639"/>
        </w:tabs>
        <w:ind w:left="2639" w:hanging="420"/>
      </w:pPr>
    </w:lvl>
    <w:lvl w:ilvl="5" w:tentative="0">
      <w:start w:val="1"/>
      <w:numFmt w:val="lowerRoman"/>
      <w:lvlText w:val="%6."/>
      <w:lvlJc w:val="right"/>
      <w:pPr>
        <w:tabs>
          <w:tab w:val="left" w:pos="3059"/>
        </w:tabs>
        <w:ind w:left="3059" w:hanging="420"/>
      </w:pPr>
    </w:lvl>
    <w:lvl w:ilvl="6" w:tentative="0">
      <w:start w:val="1"/>
      <w:numFmt w:val="decimal"/>
      <w:lvlText w:val="%7."/>
      <w:lvlJc w:val="left"/>
      <w:pPr>
        <w:tabs>
          <w:tab w:val="left" w:pos="3479"/>
        </w:tabs>
        <w:ind w:left="3479" w:hanging="420"/>
      </w:pPr>
    </w:lvl>
    <w:lvl w:ilvl="7" w:tentative="0">
      <w:start w:val="1"/>
      <w:numFmt w:val="lowerLetter"/>
      <w:lvlText w:val="%8)"/>
      <w:lvlJc w:val="left"/>
      <w:pPr>
        <w:tabs>
          <w:tab w:val="left" w:pos="3899"/>
        </w:tabs>
        <w:ind w:left="3899" w:hanging="420"/>
      </w:pPr>
    </w:lvl>
    <w:lvl w:ilvl="8" w:tentative="0">
      <w:start w:val="1"/>
      <w:numFmt w:val="lowerRoman"/>
      <w:lvlText w:val="%9."/>
      <w:lvlJc w:val="right"/>
      <w:pPr>
        <w:tabs>
          <w:tab w:val="left" w:pos="4319"/>
        </w:tabs>
        <w:ind w:left="43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DD2"/>
    <w:rsid w:val="000333ED"/>
    <w:rsid w:val="0015205E"/>
    <w:rsid w:val="001F5015"/>
    <w:rsid w:val="00256CA0"/>
    <w:rsid w:val="002A62F7"/>
    <w:rsid w:val="00300FF2"/>
    <w:rsid w:val="003231CF"/>
    <w:rsid w:val="00493927"/>
    <w:rsid w:val="00497C4A"/>
    <w:rsid w:val="004B4E49"/>
    <w:rsid w:val="00714CFF"/>
    <w:rsid w:val="007449B0"/>
    <w:rsid w:val="00781DD2"/>
    <w:rsid w:val="00904619"/>
    <w:rsid w:val="00B1733C"/>
    <w:rsid w:val="00BC6ABA"/>
    <w:rsid w:val="00CF5597"/>
    <w:rsid w:val="00D403D4"/>
    <w:rsid w:val="00EB0640"/>
    <w:rsid w:val="08545E7D"/>
    <w:rsid w:val="0D62106A"/>
    <w:rsid w:val="1C4A618A"/>
    <w:rsid w:val="2AAA2FD4"/>
    <w:rsid w:val="323A6547"/>
    <w:rsid w:val="364637FE"/>
    <w:rsid w:val="41E7494B"/>
    <w:rsid w:val="49FD1D12"/>
    <w:rsid w:val="515674E5"/>
    <w:rsid w:val="76CF0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283</Words>
  <Characters>1614</Characters>
  <Lines>13</Lines>
  <Paragraphs>3</Paragraphs>
  <TotalTime>8</TotalTime>
  <ScaleCrop>false</ScaleCrop>
  <LinksUpToDate>false</LinksUpToDate>
  <CharactersWithSpaces>1894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2020-06-24T06:29:00Z</dcterms:created>
  <dc:creator>微软用户</dc:creator>
  <cp:lastModifiedBy>Busy and cute</cp:lastModifiedBy>
  <dcterms:modified xsi:type="dcterms:W3CDTF">2020-11-10T05:05:02Z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