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b/>
          <w:bCs/>
          <w:color w:val="000000"/>
          <w:sz w:val="48"/>
          <w:szCs w:val="72"/>
        </w:rPr>
      </w:pPr>
    </w:p>
    <w:p>
      <w:pPr>
        <w:jc w:val="center"/>
        <w:rPr>
          <w:rFonts w:ascii="华文行楷" w:eastAsia="华文行楷"/>
          <w:sz w:val="52"/>
          <w:szCs w:val="44"/>
        </w:rPr>
      </w:pPr>
      <w:r>
        <w:rPr>
          <w:rFonts w:hint="eastAsia" w:ascii="华文行楷" w:eastAsia="华文行楷"/>
          <w:sz w:val="52"/>
          <w:szCs w:val="44"/>
        </w:rPr>
        <w:t>安徽扬子职业技术学院</w:t>
      </w:r>
    </w:p>
    <w:p>
      <w:pPr>
        <w:ind w:firstLine="1300" w:firstLineChars="250"/>
        <w:rPr>
          <w:rFonts w:ascii="黑体" w:eastAsia="黑体"/>
          <w:sz w:val="52"/>
          <w:szCs w:val="44"/>
        </w:rPr>
      </w:pPr>
    </w:p>
    <w:p>
      <w:pPr>
        <w:ind w:firstLine="708" w:firstLineChars="98"/>
        <w:rPr>
          <w:rFonts w:asciiTheme="minorEastAsia" w:hAnsiTheme="minorEastAsia" w:eastAsiaTheme="minorEastAsia"/>
          <w:b/>
          <w:sz w:val="72"/>
          <w:szCs w:val="72"/>
        </w:rPr>
      </w:pPr>
      <w:r>
        <w:rPr>
          <w:rFonts w:hint="eastAsia" w:asciiTheme="minorEastAsia" w:hAnsiTheme="minorEastAsia" w:eastAsiaTheme="minorEastAsia"/>
          <w:b/>
          <w:sz w:val="72"/>
          <w:szCs w:val="72"/>
        </w:rPr>
        <w:t>院级</w:t>
      </w:r>
      <w:r>
        <w:rPr>
          <w:rFonts w:hint="eastAsia" w:asciiTheme="minorEastAsia" w:hAnsiTheme="minorEastAsia" w:eastAsiaTheme="minorEastAsia"/>
          <w:b/>
          <w:bCs/>
          <w:color w:val="000000"/>
          <w:sz w:val="72"/>
          <w:szCs w:val="72"/>
        </w:rPr>
        <w:t>精品课程</w:t>
      </w:r>
      <w:r>
        <w:rPr>
          <w:rFonts w:hint="eastAsia" w:asciiTheme="minorEastAsia" w:hAnsiTheme="minorEastAsia" w:eastAsiaTheme="minorEastAsia"/>
          <w:b/>
          <w:sz w:val="72"/>
          <w:szCs w:val="72"/>
        </w:rPr>
        <w:t>申报书</w:t>
      </w:r>
    </w:p>
    <w:p/>
    <w:p/>
    <w:p>
      <w:pPr>
        <w:spacing w:line="480" w:lineRule="auto"/>
        <w:ind w:firstLine="1120" w:firstLineChars="400"/>
        <w:rPr>
          <w:rFonts w:ascii="仿宋_GB2312" w:eastAsia="仿宋_GB2312"/>
          <w:color w:val="000000"/>
          <w:sz w:val="28"/>
        </w:rPr>
      </w:pP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课   程  名   称</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高等数学</w:t>
      </w:r>
      <w:r>
        <w:rPr>
          <w:rFonts w:hint="eastAsia" w:ascii="仿宋_GB2312" w:eastAsia="仿宋_GB2312"/>
          <w:color w:val="000000"/>
          <w:sz w:val="28"/>
          <w:u w:val="single"/>
        </w:rPr>
        <w:t xml:space="preserve">     </w:t>
      </w:r>
      <w:r>
        <w:rPr>
          <w:rFonts w:hint="eastAsia" w:ascii="仿宋_GB2312" w:eastAsia="仿宋_GB2312"/>
          <w:sz w:val="28"/>
          <w:u w:val="single"/>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所属专业大类名称</w:t>
      </w:r>
      <w:r>
        <w:rPr>
          <w:rFonts w:hint="eastAsia" w:ascii="仿宋_GB2312" w:eastAsia="仿宋_GB2312"/>
          <w:color w:val="000000"/>
          <w:sz w:val="28"/>
          <w:u w:val="single"/>
        </w:rPr>
        <w:t xml:space="preserve">     </w:t>
      </w:r>
      <w:r>
        <w:rPr>
          <w:rFonts w:hint="eastAsia" w:ascii="仿宋_GB2312" w:eastAsia="仿宋_GB2312"/>
          <w:sz w:val="28"/>
          <w:u w:val="single"/>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数学</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bdr w:val="single" w:color="auto" w:sz="4" w:space="0"/>
        </w:rPr>
      </w:pPr>
      <w:r>
        <w:rPr>
          <w:rFonts w:hint="eastAsia" w:ascii="仿宋_GB2312" w:eastAsia="仿宋_GB2312"/>
          <w:color w:val="000000"/>
          <w:sz w:val="28"/>
        </w:rPr>
        <w:t>所属专业类 名 称</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课  程  负 责 人</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郭红财</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所     属  系(部)</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基础部</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ind w:firstLine="1120" w:firstLineChars="400"/>
      </w:pPr>
      <w:r>
        <w:rPr>
          <w:rFonts w:hint="eastAsia" w:ascii="仿宋_GB2312" w:eastAsia="仿宋_GB2312"/>
          <w:color w:val="000000"/>
          <w:sz w:val="28"/>
        </w:rPr>
        <w:t>申   报  日  期</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2019年8月15日</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
    <w:p/>
    <w:p/>
    <w:p/>
    <w:p/>
    <w:p/>
    <w:p/>
    <w:p/>
    <w:p>
      <w:pPr>
        <w:ind w:firstLine="2080" w:firstLineChars="650"/>
        <w:rPr>
          <w:rFonts w:ascii="宋体" w:hAnsi="宋体"/>
          <w:kern w:val="0"/>
          <w:sz w:val="32"/>
          <w:szCs w:val="32"/>
        </w:rPr>
      </w:pPr>
    </w:p>
    <w:p>
      <w:pPr>
        <w:ind w:firstLine="2080" w:firstLineChars="650"/>
        <w:rPr>
          <w:rFonts w:ascii="宋体" w:hAnsi="宋体"/>
          <w:kern w:val="0"/>
          <w:sz w:val="32"/>
          <w:szCs w:val="32"/>
        </w:rPr>
      </w:pPr>
    </w:p>
    <w:p>
      <w:pPr>
        <w:ind w:firstLine="2080" w:firstLineChars="650"/>
        <w:rPr>
          <w:rFonts w:ascii="宋体" w:hAnsi="宋体"/>
          <w:kern w:val="0"/>
          <w:sz w:val="32"/>
          <w:szCs w:val="32"/>
        </w:rPr>
      </w:pPr>
      <w:r>
        <w:rPr>
          <w:rFonts w:hint="eastAsia" w:ascii="宋体" w:hAnsi="宋体"/>
          <w:kern w:val="0"/>
          <w:sz w:val="32"/>
          <w:szCs w:val="32"/>
        </w:rPr>
        <w:t xml:space="preserve">安徽扬子职业技术学院  教务处 </w:t>
      </w:r>
    </w:p>
    <w:p>
      <w:pPr>
        <w:jc w:val="center"/>
        <w:rPr>
          <w:rFonts w:ascii="黑体" w:eastAsia="黑体"/>
          <w:kern w:val="0"/>
          <w:sz w:val="32"/>
          <w:szCs w:val="32"/>
        </w:rPr>
      </w:pPr>
      <w:r>
        <w:rPr>
          <w:rFonts w:hint="eastAsia" w:ascii="宋体"/>
          <w:kern w:val="0"/>
          <w:sz w:val="32"/>
          <w:szCs w:val="28"/>
        </w:rPr>
        <w:t>二〇一九年八月</w:t>
      </w:r>
    </w:p>
    <w:p>
      <w:pPr>
        <w:spacing w:line="480" w:lineRule="auto"/>
        <w:ind w:firstLine="539"/>
        <w:jc w:val="center"/>
        <w:rPr>
          <w:rFonts w:ascii="仿宋_GB2312" w:hAnsi="宋体" w:eastAsia="仿宋_GB2312"/>
          <w:b/>
          <w:bCs/>
          <w:color w:val="000000"/>
          <w:sz w:val="36"/>
        </w:rPr>
      </w:pPr>
      <w:r>
        <w:rPr>
          <w:rFonts w:hint="eastAsia" w:ascii="仿宋_GB2312" w:hAnsi="宋体" w:eastAsia="仿宋_GB2312"/>
          <w:b/>
          <w:bCs/>
          <w:color w:val="000000"/>
          <w:sz w:val="36"/>
        </w:rPr>
        <w:t>填 写 要 求</w:t>
      </w:r>
    </w:p>
    <w:p>
      <w:pPr>
        <w:spacing w:line="480" w:lineRule="auto"/>
        <w:ind w:firstLine="539"/>
        <w:rPr>
          <w:rFonts w:ascii="仿宋_GB2312" w:hAnsi="宋体" w:eastAsia="仿宋_GB2312"/>
          <w:color w:val="000000"/>
          <w:sz w:val="28"/>
        </w:rPr>
      </w:pPr>
    </w:p>
    <w:p>
      <w:pPr>
        <w:numPr>
          <w:ilvl w:val="0"/>
          <w:numId w:val="1"/>
        </w:numPr>
        <w:spacing w:line="480" w:lineRule="auto"/>
        <w:rPr>
          <w:rFonts w:ascii="仿宋_GB2312" w:hAnsi="宋体" w:eastAsia="仿宋_GB2312"/>
          <w:color w:val="000000"/>
          <w:sz w:val="28"/>
        </w:rPr>
      </w:pPr>
      <w:r>
        <w:rPr>
          <w:rFonts w:hint="eastAsia" w:ascii="仿宋_GB2312" w:hAnsi="宋体" w:eastAsia="仿宋_GB2312"/>
          <w:color w:val="000000"/>
          <w:sz w:val="28"/>
        </w:rPr>
        <w:t>以word文档格式如实填写各项。</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涉密内容不填写，有可能涉密和不宜大范围公开的内容，请在“其他说明”栏中注明。</w:t>
      </w:r>
    </w:p>
    <w:p>
      <w:pPr>
        <w:rPr>
          <w:color w:val="000000"/>
        </w:rPr>
        <w:sectPr>
          <w:pgSz w:w="11906" w:h="16838"/>
          <w:pgMar w:top="1440" w:right="1800" w:bottom="1440" w:left="1800" w:header="851" w:footer="992" w:gutter="0"/>
          <w:cols w:space="720" w:num="1"/>
          <w:docGrid w:type="lines" w:linePitch="312" w:charSpace="0"/>
        </w:sectPr>
      </w:pP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1.课程负责人情况</w:t>
      </w:r>
    </w:p>
    <w:tbl>
      <w:tblPr>
        <w:tblStyle w:val="4"/>
        <w:tblW w:w="888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126"/>
        <w:gridCol w:w="1276"/>
        <w:gridCol w:w="1703"/>
        <w:gridCol w:w="712"/>
        <w:gridCol w:w="1044"/>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1" w:type="dxa"/>
            <w:vMerge w:val="restart"/>
            <w:textDirection w:val="tbRlV"/>
            <w:vAlign w:val="center"/>
          </w:tcPr>
          <w:p>
            <w:pPr>
              <w:adjustRightInd w:val="0"/>
              <w:snapToGrid w:val="0"/>
              <w:spacing w:line="240" w:lineRule="atLeast"/>
              <w:ind w:right="-103" w:rightChars="-49" w:firstLine="120" w:firstLineChars="50"/>
              <w:jc w:val="center"/>
              <w:rPr>
                <w:rFonts w:ascii="仿宋_GB2312" w:hAnsi="宋体" w:eastAsia="仿宋_GB2312"/>
                <w:b/>
                <w:sz w:val="24"/>
              </w:rPr>
            </w:pPr>
            <w:r>
              <w:rPr>
                <w:rFonts w:hint="eastAsia" w:ascii="仿宋_GB2312" w:hAnsi="宋体" w:eastAsia="仿宋_GB2312"/>
                <w:b/>
                <w:sz w:val="24"/>
              </w:rPr>
              <w:t>基本情况</w:t>
            </w: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课程负责人</w:t>
            </w:r>
          </w:p>
        </w:tc>
        <w:tc>
          <w:tcPr>
            <w:tcW w:w="1276" w:type="dxa"/>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lang w:eastAsia="zh-CN"/>
              </w:rPr>
              <w:t>郭红财</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性   别</w:t>
            </w:r>
          </w:p>
        </w:tc>
        <w:tc>
          <w:tcPr>
            <w:tcW w:w="712" w:type="dxa"/>
          </w:tcPr>
          <w:p>
            <w:pPr>
              <w:spacing w:line="480" w:lineRule="auto"/>
              <w:ind w:right="-693" w:rightChars="-330"/>
              <w:rPr>
                <w:rFonts w:hint="eastAsia" w:ascii="仿宋_GB2312" w:hAnsi="宋体" w:eastAsia="仿宋_GB2312"/>
                <w:szCs w:val="21"/>
                <w:lang w:eastAsia="zh-CN"/>
              </w:rPr>
            </w:pPr>
            <w:r>
              <w:rPr>
                <w:rFonts w:hint="eastAsia" w:ascii="仿宋_GB2312" w:hAnsi="宋体" w:eastAsia="仿宋_GB2312"/>
                <w:szCs w:val="21"/>
                <w:lang w:eastAsia="zh-CN"/>
              </w:rPr>
              <w:t>男</w:t>
            </w:r>
          </w:p>
        </w:tc>
        <w:tc>
          <w:tcPr>
            <w:tcW w:w="104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出生年月</w:t>
            </w:r>
          </w:p>
        </w:tc>
        <w:tc>
          <w:tcPr>
            <w:tcW w:w="888" w:type="dxa"/>
          </w:tcPr>
          <w:p>
            <w:pPr>
              <w:spacing w:line="480" w:lineRule="auto"/>
              <w:ind w:right="-693" w:rightChars="-330"/>
              <w:rPr>
                <w:rFonts w:hint="default" w:ascii="仿宋_GB2312" w:hAnsi="宋体" w:eastAsia="仿宋_GB2312"/>
                <w:sz w:val="24"/>
                <w:lang w:val="en-US" w:eastAsia="zh-CN"/>
              </w:rPr>
            </w:pPr>
            <w:r>
              <w:rPr>
                <w:rFonts w:hint="eastAsia" w:ascii="仿宋_GB2312" w:hAnsi="宋体" w:eastAsia="仿宋_GB2312"/>
                <w:sz w:val="24"/>
                <w:lang w:val="en-US" w:eastAsia="zh-CN"/>
              </w:rPr>
              <w:t>1986.9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最终学历</w:t>
            </w:r>
          </w:p>
        </w:tc>
        <w:tc>
          <w:tcPr>
            <w:tcW w:w="1276" w:type="dxa"/>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lang w:eastAsia="zh-CN"/>
              </w:rPr>
              <w:t>研究生</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专业技术职务</w:t>
            </w:r>
          </w:p>
        </w:tc>
        <w:tc>
          <w:tcPr>
            <w:tcW w:w="2644" w:type="dxa"/>
            <w:gridSpan w:val="3"/>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lang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学位</w:t>
            </w:r>
          </w:p>
        </w:tc>
        <w:tc>
          <w:tcPr>
            <w:tcW w:w="1276" w:type="dxa"/>
          </w:tcPr>
          <w:p>
            <w:pPr>
              <w:spacing w:line="480" w:lineRule="auto"/>
              <w:ind w:right="-693" w:rightChars="-330"/>
              <w:rPr>
                <w:rFonts w:hint="eastAsia" w:ascii="仿宋_GB2312" w:hAnsi="宋体" w:eastAsia="仿宋_GB2312"/>
                <w:sz w:val="28"/>
                <w:lang w:eastAsia="zh-CN"/>
              </w:rPr>
            </w:pPr>
            <w:r>
              <w:rPr>
                <w:rFonts w:hint="eastAsia" w:ascii="仿宋_GB2312" w:hAnsi="宋体" w:eastAsia="仿宋_GB2312"/>
                <w:sz w:val="28"/>
                <w:lang w:eastAsia="zh-CN"/>
              </w:rPr>
              <w:t>硕士</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职业资格证书</w:t>
            </w:r>
          </w:p>
        </w:tc>
        <w:tc>
          <w:tcPr>
            <w:tcW w:w="2644" w:type="dxa"/>
            <w:gridSpan w:val="3"/>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lang w:eastAsia="zh-CN"/>
              </w:rPr>
              <w:t>会计从业资格证书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所在系部</w:t>
            </w:r>
          </w:p>
        </w:tc>
        <w:tc>
          <w:tcPr>
            <w:tcW w:w="5623" w:type="dxa"/>
            <w:gridSpan w:val="5"/>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lang w:eastAsia="zh-CN"/>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通信地址（邮编）</w:t>
            </w:r>
          </w:p>
        </w:tc>
        <w:tc>
          <w:tcPr>
            <w:tcW w:w="5623" w:type="dxa"/>
            <w:gridSpan w:val="5"/>
          </w:tcPr>
          <w:p>
            <w:pPr>
              <w:spacing w:line="480" w:lineRule="auto"/>
              <w:ind w:right="-693" w:rightChars="-330"/>
              <w:rPr>
                <w:rFonts w:hint="default" w:ascii="仿宋_GB2312" w:hAnsi="宋体" w:eastAsia="仿宋_GB2312"/>
                <w:sz w:val="24"/>
                <w:lang w:val="en-US" w:eastAsia="zh-CN"/>
              </w:rPr>
            </w:pPr>
            <w:r>
              <w:rPr>
                <w:rFonts w:hint="eastAsia" w:ascii="仿宋_GB2312" w:hAnsi="宋体" w:eastAsia="仿宋_GB2312"/>
                <w:sz w:val="24"/>
                <w:lang w:eastAsia="zh-CN"/>
              </w:rPr>
              <w:t>芜湖市三山区浮山路</w:t>
            </w:r>
            <w:r>
              <w:rPr>
                <w:rFonts w:hint="eastAsia" w:ascii="仿宋_GB2312" w:hAnsi="宋体" w:eastAsia="仿宋_GB2312"/>
                <w:sz w:val="24"/>
                <w:lang w:val="en-US" w:eastAsia="zh-CN"/>
              </w:rPr>
              <w:t>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1" w:type="dxa"/>
            <w:vMerge w:val="continue"/>
            <w:vAlign w:val="center"/>
          </w:tcPr>
          <w:p>
            <w:pPr>
              <w:adjustRightInd w:val="0"/>
              <w:snapToGrid w:val="0"/>
              <w:spacing w:line="240" w:lineRule="atLeast"/>
              <w:ind w:right="-103" w:rightChars="-49" w:firstLine="120" w:firstLineChars="50"/>
              <w:rPr>
                <w:rFonts w:ascii="仿宋_GB2312" w:hAnsi="宋体" w:eastAsia="仿宋_GB2312"/>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教学与技术专长</w:t>
            </w:r>
          </w:p>
        </w:tc>
        <w:tc>
          <w:tcPr>
            <w:tcW w:w="5623" w:type="dxa"/>
            <w:gridSpan w:val="5"/>
          </w:tcPr>
          <w:p>
            <w:pPr>
              <w:spacing w:line="480" w:lineRule="auto"/>
              <w:ind w:right="-693" w:rightChars="-330"/>
              <w:rPr>
                <w:rFonts w:hint="default" w:ascii="仿宋_GB2312" w:hAnsi="宋体" w:eastAsia="仿宋_GB2312"/>
                <w:sz w:val="24"/>
                <w:lang w:val="en-US" w:eastAsia="zh-CN"/>
              </w:rPr>
            </w:pPr>
            <w:r>
              <w:rPr>
                <w:rFonts w:hint="eastAsia" w:ascii="仿宋_GB2312" w:hAnsi="宋体" w:eastAsia="仿宋_GB2312"/>
                <w:sz w:val="24"/>
                <w:lang w:val="en-US" w:eastAsia="zh-CN"/>
              </w:rPr>
              <w:t>理论教学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atLeast"/>
        </w:trPr>
        <w:tc>
          <w:tcPr>
            <w:tcW w:w="1131" w:type="dxa"/>
            <w:textDirection w:val="tbRlV"/>
            <w:vAlign w:val="center"/>
          </w:tcPr>
          <w:p>
            <w:pPr>
              <w:adjustRightInd w:val="0"/>
              <w:snapToGrid w:val="0"/>
              <w:spacing w:line="240" w:lineRule="atLeast"/>
              <w:ind w:left="113" w:right="-281" w:rightChars="-134"/>
              <w:jc w:val="center"/>
              <w:rPr>
                <w:rFonts w:ascii="仿宋_GB2312" w:hAnsi="宋体" w:eastAsia="仿宋_GB2312"/>
                <w:sz w:val="24"/>
              </w:rPr>
            </w:pPr>
            <w:r>
              <w:rPr>
                <w:rFonts w:hint="eastAsia" w:ascii="仿宋_GB2312" w:hAnsi="宋体" w:eastAsia="仿宋_GB2312"/>
                <w:b/>
                <w:sz w:val="24"/>
              </w:rPr>
              <w:t>工作简历</w:t>
            </w:r>
          </w:p>
        </w:tc>
        <w:tc>
          <w:tcPr>
            <w:tcW w:w="7749" w:type="dxa"/>
            <w:gridSpan w:val="6"/>
          </w:tcPr>
          <w:p>
            <w:pPr>
              <w:ind w:right="-107" w:rightChars="-51"/>
              <w:rPr>
                <w:rFonts w:hint="eastAsia" w:ascii="仿宋_GB2312" w:hAnsi="宋体" w:eastAsia="仿宋_GB2312"/>
              </w:rPr>
            </w:pPr>
            <w:r>
              <w:rPr>
                <w:rFonts w:hint="eastAsia" w:ascii="仿宋_GB2312" w:hAnsi="宋体" w:eastAsia="仿宋_GB2312"/>
              </w:rPr>
              <w:t>（含在行业、企业的工作经历和当时从事工作的专业领域及所负责任）：</w:t>
            </w: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郭红财，2012年毕业于安徽工程大学，应用数学硕士研究生，讲师，双师型教师。2012年6月入职安徽扬子职业技术学院，一直从事高等数学这门课的教学工作，教学方法得当，教学效果良好，深受学生的喜爱。因教学对象在发展改变，在教学过程中不断改进教学思路与教学方法，做到与时俱进。</w:t>
            </w:r>
          </w:p>
          <w:p>
            <w:pPr>
              <w:ind w:right="-107" w:rightChars="-51" w:firstLine="420" w:firstLineChars="200"/>
              <w:rPr>
                <w:rFonts w:hint="default" w:ascii="仿宋_GB2312" w:hAnsi="宋体" w:eastAsia="仿宋_GB2312"/>
                <w:lang w:val="en-US" w:eastAsia="zh-CN"/>
              </w:rPr>
            </w:pPr>
            <w:r>
              <w:rPr>
                <w:rFonts w:hint="eastAsia" w:ascii="仿宋_GB2312" w:hAnsi="宋体" w:eastAsia="仿宋_GB2312"/>
                <w:lang w:val="en-US" w:eastAsia="zh-CN"/>
              </w:rPr>
              <w:t>受学院安，排在教学的同时兼职一些行政工作，在继续教育学院工作帮助我院大校大学生参加自考本科考试，提升学历。在院办工作，主要为院领导做服务工作，做好上下级沟通协调。在工会的工作，为全体教职工谋福利，提升教职工的凝聚力。在宣传部工作，做好全院的宣传工作等。通过这些工作的锻炼，提升了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2" w:hRule="atLeast"/>
        </w:trPr>
        <w:tc>
          <w:tcPr>
            <w:tcW w:w="1131"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7749" w:type="dxa"/>
            <w:gridSpan w:val="6"/>
          </w:tcPr>
          <w:p>
            <w:pPr>
              <w:spacing w:line="400" w:lineRule="exact"/>
              <w:rPr>
                <w:rFonts w:hint="eastAsia" w:asciiTheme="majorEastAsia" w:hAnsiTheme="majorEastAsia" w:eastAsiaTheme="majorEastAsia"/>
              </w:rPr>
            </w:pPr>
            <w:r>
              <w:rPr>
                <w:rFonts w:hint="eastAsia" w:asciiTheme="majorEastAsia" w:hAnsiTheme="majorEastAsia" w:eastAsiaTheme="majorEastAsia"/>
              </w:rPr>
              <w:t>课程负责人近三年承担本课程情况；近五年来承担的主要教学工作（含课程名称、课程类别、周学时；届数及学生总人数）（不超过五项）；主持的教学研究课题（含课题名称、来源、年限、成果）（不超过五项）；作为第一署名人在国内外公开发行的刊物上发表的教学研究论文（含题目、刊物名称、时间）获得的教学表彰</w:t>
            </w:r>
            <w:r>
              <w:rPr>
                <w:rFonts w:asciiTheme="majorEastAsia" w:hAnsiTheme="majorEastAsia" w:eastAsiaTheme="majorEastAsia"/>
              </w:rPr>
              <w:t>/</w:t>
            </w:r>
            <w:r>
              <w:rPr>
                <w:rFonts w:hint="eastAsia" w:asciiTheme="majorEastAsia" w:hAnsiTheme="majorEastAsia" w:eastAsiaTheme="majorEastAsia"/>
              </w:rPr>
              <w:t>奖励</w:t>
            </w: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课程名称    课程类别    周学时      届数      学生总人数</w:t>
            </w:r>
          </w:p>
          <w:p>
            <w:pPr>
              <w:ind w:right="-107" w:rightChars="-51" w:firstLine="420" w:firstLineChars="200"/>
              <w:rPr>
                <w:rFonts w:hint="default" w:ascii="仿宋_GB2312" w:hAnsi="宋体" w:eastAsia="仿宋_GB2312"/>
                <w:lang w:val="en-US" w:eastAsia="zh-CN"/>
              </w:rPr>
            </w:pPr>
            <w:r>
              <w:rPr>
                <w:rFonts w:hint="eastAsia" w:ascii="仿宋_GB2312" w:hAnsi="宋体" w:eastAsia="仿宋_GB2312"/>
                <w:lang w:val="en-US" w:eastAsia="zh-CN"/>
              </w:rPr>
              <w:t>高等数学   公共基础课     8        2015届       193</w:t>
            </w:r>
          </w:p>
          <w:p>
            <w:pPr>
              <w:ind w:right="-107" w:rightChars="-51" w:firstLine="420" w:firstLineChars="200"/>
              <w:rPr>
                <w:rFonts w:hint="default" w:ascii="仿宋_GB2312" w:hAnsi="宋体" w:eastAsia="仿宋_GB2312"/>
                <w:lang w:val="en-US" w:eastAsia="zh-CN"/>
              </w:rPr>
            </w:pPr>
            <w:r>
              <w:rPr>
                <w:rFonts w:hint="eastAsia" w:ascii="仿宋_GB2312" w:hAnsi="宋体" w:eastAsia="仿宋_GB2312"/>
                <w:lang w:val="en-US" w:eastAsia="zh-CN"/>
              </w:rPr>
              <w:t>高等数学   公共基础课     8        2016届       196</w:t>
            </w:r>
          </w:p>
          <w:p>
            <w:pPr>
              <w:ind w:right="-107" w:rightChars="-51" w:firstLine="420" w:firstLineChars="200"/>
              <w:rPr>
                <w:rFonts w:hint="default" w:ascii="仿宋_GB2312" w:hAnsi="宋体" w:eastAsia="仿宋_GB2312"/>
                <w:lang w:val="en-US" w:eastAsia="zh-CN"/>
              </w:rPr>
            </w:pPr>
            <w:r>
              <w:rPr>
                <w:rFonts w:hint="eastAsia" w:ascii="仿宋_GB2312" w:hAnsi="宋体" w:eastAsia="仿宋_GB2312"/>
                <w:lang w:val="en-US" w:eastAsia="zh-CN"/>
              </w:rPr>
              <w:t>高等数学   公共基础课     8        2017届       196</w:t>
            </w:r>
          </w:p>
          <w:p>
            <w:pPr>
              <w:ind w:right="-107" w:rightChars="-51" w:firstLine="420" w:firstLineChars="200"/>
              <w:rPr>
                <w:rFonts w:hint="default" w:ascii="仿宋_GB2312" w:hAnsi="宋体" w:eastAsia="仿宋_GB2312"/>
                <w:lang w:val="en-US" w:eastAsia="zh-CN"/>
              </w:rPr>
            </w:pPr>
            <w:r>
              <w:rPr>
                <w:rFonts w:hint="eastAsia" w:ascii="仿宋_GB2312" w:hAnsi="宋体" w:eastAsia="仿宋_GB2312"/>
                <w:lang w:val="en-US" w:eastAsia="zh-CN"/>
              </w:rPr>
              <w:t>高等数学   公共基础课     4        2018届        95</w:t>
            </w:r>
          </w:p>
          <w:p>
            <w:pPr>
              <w:ind w:right="-107" w:rightChars="-51" w:firstLine="420" w:firstLineChars="200"/>
              <w:rPr>
                <w:rFonts w:hint="default" w:ascii="宋体" w:hAnsi="宋体"/>
                <w:bCs/>
                <w:sz w:val="24"/>
                <w:lang w:val="en-US" w:eastAsia="zh-CN"/>
              </w:rPr>
            </w:pPr>
            <w:r>
              <w:rPr>
                <w:rFonts w:hint="eastAsia" w:ascii="仿宋_GB2312" w:hAnsi="宋体" w:eastAsia="仿宋_GB2312"/>
                <w:lang w:val="en-US" w:eastAsia="zh-CN"/>
              </w:rPr>
              <w:t>高等数学   公共基础课     4        2019届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trPr>
        <w:tc>
          <w:tcPr>
            <w:tcW w:w="1131" w:type="dxa"/>
            <w:textDirection w:val="tbRlV"/>
            <w:vAlign w:val="center"/>
          </w:tcPr>
          <w:p>
            <w:pPr>
              <w:adjustRightInd w:val="0"/>
              <w:snapToGrid w:val="0"/>
              <w:spacing w:line="240" w:lineRule="atLeast"/>
              <w:ind w:left="113" w:right="-693" w:rightChars="-330"/>
              <w:jc w:val="center"/>
              <w:rPr>
                <w:rFonts w:asciiTheme="majorEastAsia" w:hAnsiTheme="majorEastAsia" w:eastAsiaTheme="majorEastAsia"/>
                <w:sz w:val="24"/>
              </w:rPr>
            </w:pPr>
            <w:r>
              <w:rPr>
                <w:rFonts w:hint="eastAsia" w:asciiTheme="majorEastAsia" w:hAnsiTheme="majorEastAsia" w:eastAsiaTheme="majorEastAsia"/>
                <w:b/>
                <w:sz w:val="24"/>
              </w:rPr>
              <w:t>技术服务</w:t>
            </w:r>
          </w:p>
        </w:tc>
        <w:tc>
          <w:tcPr>
            <w:tcW w:w="7749" w:type="dxa"/>
            <w:gridSpan w:val="6"/>
          </w:tcPr>
          <w:p>
            <w:pPr>
              <w:spacing w:line="400" w:lineRule="exact"/>
              <w:rPr>
                <w:rFonts w:hint="default" w:asciiTheme="majorEastAsia" w:hAnsiTheme="majorEastAsia" w:eastAsiaTheme="majorEastAsia"/>
                <w:lang w:val="en-US" w:eastAsia="zh-CN"/>
              </w:rPr>
            </w:pPr>
            <w:r>
              <w:rPr>
                <w:rFonts w:hint="eastAsia" w:asciiTheme="majorEastAsia" w:hAnsiTheme="majorEastAsia" w:eastAsiaTheme="majorEastAsia"/>
              </w:rPr>
              <w:t>近五年来承担的技术开发与服务（培训）项目及效果（含项目/培训名称、来源、年限、本人所起作用）（不超过五项）；在国内外公开发行刊物上发表的专业技术论文（含题目、刊物名称、署名次序与时间）；获得的表彰</w:t>
            </w:r>
            <w:r>
              <w:rPr>
                <w:rFonts w:asciiTheme="majorEastAsia" w:hAnsiTheme="majorEastAsia" w:eastAsiaTheme="majorEastAsia"/>
              </w:rPr>
              <w:t>/</w:t>
            </w:r>
            <w:r>
              <w:rPr>
                <w:rFonts w:hint="eastAsia" w:asciiTheme="majorEastAsia" w:hAnsiTheme="majorEastAsia" w:eastAsiaTheme="majorEastAsia"/>
              </w:rPr>
              <w:t>奖励或获得的专利（含奖项名称、授予单位、署名次序、时间）</w:t>
            </w: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2</w:t>
      </w:r>
      <w:r>
        <w:rPr>
          <w:rFonts w:hint="eastAsia" w:ascii="仿宋_GB2312" w:hAnsi="宋体" w:eastAsia="仿宋_GB2312"/>
          <w:b/>
          <w:bCs/>
          <w:sz w:val="28"/>
        </w:rPr>
        <w:t>．课程团队</w:t>
      </w:r>
    </w:p>
    <w:tbl>
      <w:tblPr>
        <w:tblStyle w:val="4"/>
        <w:tblW w:w="8904"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26"/>
        <w:gridCol w:w="669"/>
        <w:gridCol w:w="805"/>
        <w:gridCol w:w="938"/>
        <w:gridCol w:w="1207"/>
        <w:gridCol w:w="804"/>
        <w:gridCol w:w="1072"/>
        <w:gridCol w:w="1198"/>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1053" w:type="dxa"/>
            <w:vMerge w:val="restart"/>
            <w:vAlign w:val="center"/>
          </w:tcPr>
          <w:p>
            <w:pPr>
              <w:adjustRightInd w:val="0"/>
              <w:snapToGrid w:val="0"/>
              <w:spacing w:line="240" w:lineRule="atLeast"/>
              <w:rPr>
                <w:rFonts w:ascii="仿宋_GB2312" w:hAnsi="宋体" w:eastAsia="仿宋_GB2312"/>
                <w:b/>
                <w:sz w:val="24"/>
              </w:rPr>
            </w:pPr>
            <w:r>
              <w:rPr>
                <w:rFonts w:hint="eastAsia" w:ascii="仿宋_GB2312" w:hAnsi="宋体" w:eastAsia="仿宋_GB2312"/>
                <w:b/>
                <w:sz w:val="24"/>
              </w:rPr>
              <w:t>课程团队结构（含兼职教师）</w:t>
            </w:r>
          </w:p>
        </w:tc>
        <w:tc>
          <w:tcPr>
            <w:tcW w:w="726" w:type="dxa"/>
            <w:vAlign w:val="center"/>
          </w:tcPr>
          <w:p>
            <w:pPr>
              <w:jc w:val="center"/>
              <w:rPr>
                <w:rFonts w:ascii="仿宋_GB2312" w:hAnsi="宋体" w:eastAsia="仿宋_GB2312"/>
                <w:szCs w:val="21"/>
              </w:rPr>
            </w:pPr>
            <w:r>
              <w:rPr>
                <w:rFonts w:hint="eastAsia" w:ascii="仿宋_GB2312" w:hAnsi="宋体" w:eastAsia="仿宋_GB2312"/>
                <w:szCs w:val="21"/>
              </w:rPr>
              <w:t>姓名</w:t>
            </w:r>
          </w:p>
        </w:tc>
        <w:tc>
          <w:tcPr>
            <w:tcW w:w="669" w:type="dxa"/>
            <w:vAlign w:val="center"/>
          </w:tcPr>
          <w:p>
            <w:pPr>
              <w:jc w:val="center"/>
              <w:rPr>
                <w:rFonts w:ascii="仿宋_GB2312" w:hAnsi="宋体" w:eastAsia="仿宋_GB2312"/>
                <w:szCs w:val="21"/>
              </w:rPr>
            </w:pPr>
            <w:r>
              <w:rPr>
                <w:rFonts w:hint="eastAsia" w:ascii="仿宋_GB2312" w:hAnsi="宋体" w:eastAsia="仿宋_GB2312"/>
                <w:szCs w:val="21"/>
              </w:rPr>
              <w:t>性别</w:t>
            </w:r>
          </w:p>
        </w:tc>
        <w:tc>
          <w:tcPr>
            <w:tcW w:w="805" w:type="dxa"/>
            <w:vAlign w:val="center"/>
          </w:tcPr>
          <w:p>
            <w:pPr>
              <w:jc w:val="center"/>
              <w:rPr>
                <w:rFonts w:ascii="仿宋_GB2312" w:hAnsi="宋体" w:eastAsia="仿宋_GB2312"/>
                <w:szCs w:val="21"/>
              </w:rPr>
            </w:pPr>
            <w:r>
              <w:rPr>
                <w:rFonts w:hint="eastAsia" w:ascii="仿宋_GB2312" w:hAnsi="宋体" w:eastAsia="仿宋_GB2312"/>
                <w:szCs w:val="21"/>
              </w:rPr>
              <w:t>出生</w:t>
            </w:r>
          </w:p>
          <w:p>
            <w:pPr>
              <w:jc w:val="center"/>
              <w:rPr>
                <w:rFonts w:ascii="仿宋_GB2312" w:hAnsi="宋体" w:eastAsia="仿宋_GB2312"/>
                <w:szCs w:val="21"/>
              </w:rPr>
            </w:pPr>
            <w:r>
              <w:rPr>
                <w:rFonts w:hint="eastAsia" w:ascii="仿宋_GB2312" w:hAnsi="宋体" w:eastAsia="仿宋_GB2312"/>
                <w:szCs w:val="21"/>
              </w:rPr>
              <w:t>年月</w:t>
            </w:r>
          </w:p>
        </w:tc>
        <w:tc>
          <w:tcPr>
            <w:tcW w:w="938" w:type="dxa"/>
            <w:vAlign w:val="center"/>
          </w:tcPr>
          <w:p>
            <w:pPr>
              <w:jc w:val="center"/>
              <w:rPr>
                <w:rFonts w:ascii="仿宋_GB2312" w:hAnsi="宋体" w:eastAsia="仿宋_GB2312"/>
                <w:szCs w:val="21"/>
              </w:rPr>
            </w:pPr>
            <w:r>
              <w:rPr>
                <w:rFonts w:hint="eastAsia" w:ascii="仿宋_GB2312" w:hAnsi="宋体" w:eastAsia="仿宋_GB2312"/>
                <w:szCs w:val="21"/>
              </w:rPr>
              <w:t>专业技术职务</w:t>
            </w:r>
          </w:p>
        </w:tc>
        <w:tc>
          <w:tcPr>
            <w:tcW w:w="1207" w:type="dxa"/>
            <w:vAlign w:val="center"/>
          </w:tcPr>
          <w:p>
            <w:pPr>
              <w:jc w:val="center"/>
              <w:rPr>
                <w:rFonts w:ascii="仿宋_GB2312" w:hAnsi="宋体" w:eastAsia="仿宋_GB2312"/>
                <w:szCs w:val="21"/>
              </w:rPr>
            </w:pPr>
            <w:r>
              <w:rPr>
                <w:rFonts w:hint="eastAsia" w:ascii="仿宋_GB2312" w:hAnsi="宋体" w:eastAsia="仿宋_GB2312"/>
                <w:szCs w:val="21"/>
              </w:rPr>
              <w:t>职业资格</w:t>
            </w:r>
          </w:p>
          <w:p>
            <w:pPr>
              <w:jc w:val="center"/>
              <w:rPr>
                <w:rFonts w:ascii="仿宋_GB2312" w:hAnsi="宋体" w:eastAsia="仿宋_GB2312"/>
                <w:szCs w:val="21"/>
              </w:rPr>
            </w:pPr>
            <w:r>
              <w:rPr>
                <w:rFonts w:hint="eastAsia" w:ascii="仿宋_GB2312" w:hAnsi="宋体" w:eastAsia="仿宋_GB2312"/>
                <w:szCs w:val="21"/>
              </w:rPr>
              <w:t>证书</w:t>
            </w:r>
          </w:p>
        </w:tc>
        <w:tc>
          <w:tcPr>
            <w:tcW w:w="804" w:type="dxa"/>
            <w:vAlign w:val="center"/>
          </w:tcPr>
          <w:p>
            <w:pPr>
              <w:jc w:val="center"/>
              <w:rPr>
                <w:rFonts w:ascii="仿宋_GB2312" w:hAnsi="宋体" w:eastAsia="仿宋_GB2312"/>
                <w:szCs w:val="21"/>
              </w:rPr>
            </w:pPr>
            <w:r>
              <w:rPr>
                <w:rFonts w:hint="eastAsia" w:ascii="仿宋_GB2312" w:hAnsi="宋体" w:eastAsia="仿宋_GB2312"/>
                <w:szCs w:val="21"/>
              </w:rPr>
              <w:t>专业</w:t>
            </w:r>
          </w:p>
          <w:p>
            <w:pPr>
              <w:jc w:val="center"/>
              <w:rPr>
                <w:rFonts w:ascii="仿宋_GB2312" w:hAnsi="宋体" w:eastAsia="仿宋_GB2312"/>
                <w:szCs w:val="21"/>
              </w:rPr>
            </w:pPr>
            <w:r>
              <w:rPr>
                <w:rFonts w:hint="eastAsia" w:ascii="仿宋_GB2312" w:hAnsi="宋体" w:eastAsia="仿宋_GB2312"/>
                <w:szCs w:val="21"/>
              </w:rPr>
              <w:t>领域</w:t>
            </w:r>
          </w:p>
        </w:tc>
        <w:tc>
          <w:tcPr>
            <w:tcW w:w="1072"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在教学中承担的</w:t>
            </w:r>
          </w:p>
          <w:p>
            <w:pPr>
              <w:jc w:val="center"/>
              <w:rPr>
                <w:rFonts w:asciiTheme="majorEastAsia" w:hAnsiTheme="majorEastAsia" w:eastAsiaTheme="majorEastAsia"/>
                <w:szCs w:val="21"/>
              </w:rPr>
            </w:pPr>
            <w:r>
              <w:rPr>
                <w:rFonts w:hint="eastAsia" w:asciiTheme="majorEastAsia" w:hAnsiTheme="majorEastAsia" w:eastAsiaTheme="majorEastAsia"/>
                <w:szCs w:val="21"/>
              </w:rPr>
              <w:t>工作</w:t>
            </w:r>
          </w:p>
        </w:tc>
        <w:tc>
          <w:tcPr>
            <w:tcW w:w="1198"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兼职教师在行业企业中所任职务</w:t>
            </w:r>
          </w:p>
        </w:tc>
        <w:tc>
          <w:tcPr>
            <w:tcW w:w="432" w:type="dxa"/>
            <w:vAlign w:val="center"/>
          </w:tcPr>
          <w:p>
            <w:pPr>
              <w:spacing w:line="480" w:lineRule="auto"/>
              <w:jc w:val="center"/>
              <w:rPr>
                <w:rFonts w:ascii="仿宋_GB2312" w:hAnsi="宋体" w:eastAsia="仿宋_GB2312"/>
                <w:szCs w:val="21"/>
              </w:rPr>
            </w:pPr>
            <w:r>
              <w:rPr>
                <w:rFonts w:hint="eastAsia" w:ascii="仿宋_GB2312" w:hAnsi="宋体"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053" w:type="dxa"/>
            <w:vMerge w:val="continue"/>
          </w:tcPr>
          <w:p>
            <w:pPr>
              <w:spacing w:line="480" w:lineRule="auto"/>
              <w:ind w:right="-693" w:rightChars="-330"/>
              <w:rPr>
                <w:rFonts w:ascii="仿宋_GB2312" w:hAnsi="宋体" w:eastAsia="仿宋_GB2312"/>
                <w:sz w:val="28"/>
              </w:rPr>
            </w:pPr>
          </w:p>
        </w:tc>
        <w:tc>
          <w:tcPr>
            <w:tcW w:w="726"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郭红财</w:t>
            </w:r>
          </w:p>
        </w:tc>
        <w:tc>
          <w:tcPr>
            <w:tcW w:w="669"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男</w:t>
            </w:r>
          </w:p>
        </w:tc>
        <w:tc>
          <w:tcPr>
            <w:tcW w:w="805" w:type="dxa"/>
          </w:tcPr>
          <w:p>
            <w:pPr>
              <w:spacing w:line="480" w:lineRule="auto"/>
              <w:ind w:right="-693" w:rightChars="-330"/>
              <w:rPr>
                <w:rFonts w:ascii="仿宋_GB2312" w:hAnsi="宋体" w:eastAsia="仿宋_GB2312"/>
                <w:szCs w:val="21"/>
              </w:rPr>
            </w:pPr>
            <w:r>
              <w:rPr>
                <w:rFonts w:hint="eastAsia" w:ascii="仿宋_GB2312" w:hAnsi="宋体" w:eastAsia="仿宋_GB2312"/>
                <w:szCs w:val="21"/>
                <w:lang w:val="en-US" w:eastAsia="zh-CN"/>
              </w:rPr>
              <w:t>1986.9</w:t>
            </w:r>
          </w:p>
        </w:tc>
        <w:tc>
          <w:tcPr>
            <w:tcW w:w="938"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讲师</w:t>
            </w:r>
          </w:p>
        </w:tc>
        <w:tc>
          <w:tcPr>
            <w:tcW w:w="1207"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会计从业资格证</w:t>
            </w:r>
          </w:p>
        </w:tc>
        <w:tc>
          <w:tcPr>
            <w:tcW w:w="804"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经济管理</w:t>
            </w:r>
          </w:p>
        </w:tc>
        <w:tc>
          <w:tcPr>
            <w:tcW w:w="1072" w:type="dxa"/>
            <w:vAlign w:val="center"/>
          </w:tcPr>
          <w:p>
            <w:pPr>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firstLine="210" w:firstLineChars="100"/>
              <w:rPr>
                <w:rFonts w:hint="default" w:ascii="仿宋_GB2312" w:hAnsi="宋体" w:eastAsia="仿宋_GB2312"/>
                <w:szCs w:val="21"/>
                <w:lang w:val="en-US" w:eastAsia="zh-CN"/>
              </w:rPr>
            </w:pPr>
            <w:r>
              <w:rPr>
                <w:rFonts w:hint="eastAsia" w:ascii="仿宋_GB2312" w:hAnsi="宋体" w:eastAsia="仿宋_GB2312"/>
                <w:szCs w:val="21"/>
                <w:lang w:val="en-US" w:eastAsia="zh-CN"/>
              </w:rPr>
              <w:t>教学</w:t>
            </w:r>
          </w:p>
        </w:tc>
        <w:tc>
          <w:tcPr>
            <w:tcW w:w="1198" w:type="dxa"/>
          </w:tcPr>
          <w:p>
            <w:pPr>
              <w:ind w:right="-693" w:rightChars="-330"/>
              <w:rPr>
                <w:rFonts w:hint="default" w:ascii="仿宋_GB2312" w:hAnsi="宋体" w:eastAsia="仿宋_GB2312"/>
                <w:szCs w:val="21"/>
                <w:lang w:val="en-US" w:eastAsia="zh-CN"/>
              </w:rPr>
            </w:pPr>
          </w:p>
        </w:tc>
        <w:tc>
          <w:tcPr>
            <w:tcW w:w="432"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053" w:type="dxa"/>
            <w:vMerge w:val="continue"/>
          </w:tcPr>
          <w:p>
            <w:pPr>
              <w:spacing w:line="480" w:lineRule="auto"/>
              <w:ind w:right="-693" w:rightChars="-330"/>
              <w:rPr>
                <w:rFonts w:ascii="仿宋_GB2312" w:hAnsi="宋体" w:eastAsia="仿宋_GB2312"/>
                <w:sz w:val="28"/>
              </w:rPr>
            </w:pPr>
          </w:p>
        </w:tc>
        <w:tc>
          <w:tcPr>
            <w:tcW w:w="726"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陈亮</w:t>
            </w:r>
          </w:p>
        </w:tc>
        <w:tc>
          <w:tcPr>
            <w:tcW w:w="669"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男</w:t>
            </w:r>
          </w:p>
        </w:tc>
        <w:tc>
          <w:tcPr>
            <w:tcW w:w="805"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1983.7</w:t>
            </w:r>
          </w:p>
        </w:tc>
        <w:tc>
          <w:tcPr>
            <w:tcW w:w="938"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助教</w:t>
            </w:r>
          </w:p>
        </w:tc>
        <w:tc>
          <w:tcPr>
            <w:tcW w:w="1207"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教师资格证</w:t>
            </w:r>
          </w:p>
        </w:tc>
        <w:tc>
          <w:tcPr>
            <w:tcW w:w="804" w:type="dxa"/>
          </w:tcPr>
          <w:p>
            <w:pPr>
              <w:spacing w:line="480" w:lineRule="auto"/>
              <w:ind w:right="-693" w:rightChars="-330"/>
              <w:rPr>
                <w:rFonts w:ascii="仿宋_GB2312" w:hAnsi="宋体" w:eastAsia="仿宋_GB2312"/>
                <w:szCs w:val="21"/>
              </w:rPr>
            </w:pPr>
          </w:p>
        </w:tc>
        <w:tc>
          <w:tcPr>
            <w:tcW w:w="1072" w:type="dxa"/>
            <w:vAlign w:val="center"/>
          </w:tcPr>
          <w:p>
            <w:pPr>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rPr>
                <w:rFonts w:ascii="仿宋_GB2312" w:hAnsi="宋体" w:eastAsia="仿宋_GB2312"/>
                <w:szCs w:val="21"/>
              </w:rPr>
            </w:pPr>
            <w:r>
              <w:rPr>
                <w:rFonts w:hint="eastAsia" w:ascii="仿宋_GB2312" w:hAnsi="宋体" w:eastAsia="仿宋_GB2312"/>
                <w:szCs w:val="21"/>
                <w:lang w:val="en-US" w:eastAsia="zh-CN"/>
              </w:rPr>
              <w:t>教学</w:t>
            </w:r>
          </w:p>
        </w:tc>
        <w:tc>
          <w:tcPr>
            <w:tcW w:w="1198" w:type="dxa"/>
          </w:tcPr>
          <w:p>
            <w:pPr>
              <w:ind w:right="-693" w:rightChars="-330"/>
              <w:rPr>
                <w:rFonts w:hint="default" w:ascii="仿宋_GB2312" w:hAnsi="宋体" w:eastAsia="仿宋_GB2312"/>
                <w:szCs w:val="21"/>
                <w:lang w:val="en-US" w:eastAsia="zh-CN"/>
              </w:rPr>
            </w:pPr>
          </w:p>
        </w:tc>
        <w:tc>
          <w:tcPr>
            <w:tcW w:w="432"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053" w:type="dxa"/>
            <w:vMerge w:val="continue"/>
          </w:tcPr>
          <w:p>
            <w:pPr>
              <w:spacing w:line="480" w:lineRule="auto"/>
              <w:ind w:right="-693" w:rightChars="-330"/>
              <w:rPr>
                <w:rFonts w:ascii="仿宋_GB2312" w:hAnsi="宋体" w:eastAsia="仿宋_GB2312"/>
                <w:sz w:val="28"/>
              </w:rPr>
            </w:pPr>
          </w:p>
        </w:tc>
        <w:tc>
          <w:tcPr>
            <w:tcW w:w="726"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陈曦</w:t>
            </w:r>
          </w:p>
        </w:tc>
        <w:tc>
          <w:tcPr>
            <w:tcW w:w="669"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男</w:t>
            </w:r>
          </w:p>
        </w:tc>
        <w:tc>
          <w:tcPr>
            <w:tcW w:w="805" w:type="dxa"/>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1984.4</w:t>
            </w:r>
          </w:p>
        </w:tc>
        <w:tc>
          <w:tcPr>
            <w:tcW w:w="938" w:type="dxa"/>
          </w:tcPr>
          <w:p>
            <w:pPr>
              <w:spacing w:line="480" w:lineRule="auto"/>
              <w:ind w:right="-693" w:rightChars="-330"/>
              <w:rPr>
                <w:rFonts w:ascii="仿宋_GB2312" w:hAnsi="宋体" w:eastAsia="仿宋_GB2312"/>
                <w:szCs w:val="21"/>
              </w:rPr>
            </w:pPr>
            <w:r>
              <w:rPr>
                <w:rFonts w:hint="eastAsia" w:ascii="仿宋_GB2312" w:hAnsi="宋体" w:eastAsia="仿宋_GB2312"/>
                <w:szCs w:val="21"/>
                <w:lang w:val="en-US" w:eastAsia="zh-CN"/>
              </w:rPr>
              <w:t>助教</w:t>
            </w:r>
          </w:p>
        </w:tc>
        <w:tc>
          <w:tcPr>
            <w:tcW w:w="1207"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中级会计资格证</w:t>
            </w:r>
          </w:p>
        </w:tc>
        <w:tc>
          <w:tcPr>
            <w:tcW w:w="804" w:type="dxa"/>
          </w:tcPr>
          <w:p>
            <w:pPr>
              <w:spacing w:line="480" w:lineRule="auto"/>
              <w:ind w:right="-693" w:rightChars="-330"/>
              <w:rPr>
                <w:rFonts w:hint="default" w:ascii="仿宋_GB2312" w:hAnsi="宋体" w:eastAsia="仿宋_GB2312"/>
                <w:szCs w:val="21"/>
                <w:lang w:val="en-US"/>
              </w:rPr>
            </w:pPr>
            <w:r>
              <w:rPr>
                <w:rFonts w:hint="eastAsia" w:ascii="仿宋_GB2312" w:hAnsi="宋体" w:eastAsia="仿宋_GB2312"/>
                <w:szCs w:val="21"/>
                <w:lang w:val="en-US" w:eastAsia="zh-CN"/>
              </w:rPr>
              <w:t>经济管理</w:t>
            </w:r>
          </w:p>
        </w:tc>
        <w:tc>
          <w:tcPr>
            <w:tcW w:w="1072" w:type="dxa"/>
            <w:vAlign w:val="center"/>
          </w:tcPr>
          <w:p>
            <w:pPr>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rPr>
                <w:rFonts w:ascii="仿宋_GB2312" w:hAnsi="宋体" w:eastAsia="仿宋_GB2312"/>
                <w:szCs w:val="21"/>
              </w:rPr>
            </w:pPr>
            <w:r>
              <w:rPr>
                <w:rFonts w:hint="eastAsia" w:ascii="仿宋_GB2312" w:hAnsi="宋体" w:eastAsia="仿宋_GB2312"/>
                <w:szCs w:val="21"/>
                <w:lang w:val="en-US" w:eastAsia="zh-CN"/>
              </w:rPr>
              <w:t>教学</w:t>
            </w:r>
          </w:p>
        </w:tc>
        <w:tc>
          <w:tcPr>
            <w:tcW w:w="1198" w:type="dxa"/>
          </w:tcPr>
          <w:p>
            <w:pPr>
              <w:ind w:right="-693" w:rightChars="-330"/>
              <w:rPr>
                <w:rFonts w:ascii="仿宋_GB2312" w:hAnsi="宋体" w:eastAsia="仿宋_GB2312"/>
                <w:szCs w:val="21"/>
              </w:rPr>
            </w:pPr>
          </w:p>
        </w:tc>
        <w:tc>
          <w:tcPr>
            <w:tcW w:w="432"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053" w:type="dxa"/>
            <w:vMerge w:val="continue"/>
          </w:tcPr>
          <w:p>
            <w:pPr>
              <w:spacing w:line="480" w:lineRule="auto"/>
              <w:ind w:right="-693" w:rightChars="-330"/>
              <w:rPr>
                <w:rFonts w:ascii="仿宋_GB2312" w:hAnsi="宋体" w:eastAsia="仿宋_GB2312"/>
                <w:sz w:val="28"/>
              </w:rPr>
            </w:pPr>
          </w:p>
        </w:tc>
        <w:tc>
          <w:tcPr>
            <w:tcW w:w="726" w:type="dxa"/>
            <w:vAlign w:val="top"/>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董冉冉</w:t>
            </w:r>
          </w:p>
        </w:tc>
        <w:tc>
          <w:tcPr>
            <w:tcW w:w="669" w:type="dxa"/>
            <w:vAlign w:val="top"/>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女</w:t>
            </w:r>
          </w:p>
        </w:tc>
        <w:tc>
          <w:tcPr>
            <w:tcW w:w="805" w:type="dxa"/>
            <w:vAlign w:val="top"/>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1989.9</w:t>
            </w:r>
          </w:p>
        </w:tc>
        <w:tc>
          <w:tcPr>
            <w:tcW w:w="938" w:type="dxa"/>
            <w:vAlign w:val="top"/>
          </w:tcPr>
          <w:p>
            <w:pPr>
              <w:spacing w:line="480" w:lineRule="auto"/>
              <w:ind w:right="-693" w:rightChars="-330"/>
              <w:rPr>
                <w:rFonts w:ascii="仿宋_GB2312" w:hAnsi="宋体" w:eastAsia="仿宋_GB2312"/>
                <w:szCs w:val="21"/>
              </w:rPr>
            </w:pPr>
            <w:r>
              <w:rPr>
                <w:rFonts w:hint="eastAsia" w:ascii="仿宋_GB2312" w:hAnsi="宋体" w:eastAsia="仿宋_GB2312"/>
                <w:szCs w:val="21"/>
                <w:lang w:val="en-US" w:eastAsia="zh-CN"/>
              </w:rPr>
              <w:t>讲师</w:t>
            </w:r>
          </w:p>
        </w:tc>
        <w:tc>
          <w:tcPr>
            <w:tcW w:w="1207" w:type="dxa"/>
            <w:vAlign w:val="top"/>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教师资格证</w:t>
            </w:r>
          </w:p>
        </w:tc>
        <w:tc>
          <w:tcPr>
            <w:tcW w:w="804" w:type="dxa"/>
            <w:vAlign w:val="top"/>
          </w:tcPr>
          <w:p>
            <w:pPr>
              <w:spacing w:line="480" w:lineRule="auto"/>
              <w:ind w:right="-693" w:rightChars="-330"/>
              <w:rPr>
                <w:rFonts w:ascii="仿宋_GB2312" w:hAnsi="宋体" w:eastAsia="仿宋_GB2312"/>
                <w:szCs w:val="21"/>
              </w:rPr>
            </w:pPr>
          </w:p>
        </w:tc>
        <w:tc>
          <w:tcPr>
            <w:tcW w:w="1072" w:type="dxa"/>
            <w:vAlign w:val="center"/>
          </w:tcPr>
          <w:p>
            <w:pPr>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rPr>
                <w:rFonts w:ascii="仿宋_GB2312" w:hAnsi="宋体" w:eastAsia="仿宋_GB2312"/>
                <w:szCs w:val="21"/>
              </w:rPr>
            </w:pPr>
            <w:r>
              <w:rPr>
                <w:rFonts w:hint="eastAsia" w:ascii="仿宋_GB2312" w:hAnsi="宋体" w:eastAsia="仿宋_GB2312"/>
                <w:szCs w:val="21"/>
                <w:lang w:val="en-US" w:eastAsia="zh-CN"/>
              </w:rPr>
              <w:t>教学</w:t>
            </w:r>
          </w:p>
        </w:tc>
        <w:tc>
          <w:tcPr>
            <w:tcW w:w="1198" w:type="dxa"/>
            <w:vAlign w:val="top"/>
          </w:tcPr>
          <w:p>
            <w:pPr>
              <w:ind w:right="-693" w:rightChars="-330"/>
              <w:rPr>
                <w:rFonts w:ascii="仿宋_GB2312" w:hAnsi="宋体" w:eastAsia="仿宋_GB2312"/>
                <w:szCs w:val="21"/>
              </w:rPr>
            </w:pPr>
          </w:p>
        </w:tc>
        <w:tc>
          <w:tcPr>
            <w:tcW w:w="432"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053" w:type="dxa"/>
            <w:vMerge w:val="continue"/>
          </w:tcPr>
          <w:p>
            <w:pPr>
              <w:spacing w:line="480" w:lineRule="auto"/>
              <w:ind w:right="-693" w:rightChars="-330"/>
              <w:rPr>
                <w:rFonts w:ascii="仿宋_GB2312" w:hAnsi="宋体" w:eastAsia="仿宋_GB2312"/>
                <w:sz w:val="28"/>
              </w:rPr>
            </w:pPr>
          </w:p>
        </w:tc>
        <w:tc>
          <w:tcPr>
            <w:tcW w:w="726" w:type="dxa"/>
            <w:vAlign w:val="top"/>
          </w:tcPr>
          <w:p>
            <w:pPr>
              <w:spacing w:line="480" w:lineRule="auto"/>
              <w:ind w:right="-693" w:rightChars="-330"/>
              <w:rPr>
                <w:rFonts w:ascii="仿宋_GB2312" w:hAnsi="宋体" w:eastAsia="仿宋_GB2312"/>
                <w:szCs w:val="21"/>
              </w:rPr>
            </w:pPr>
            <w:r>
              <w:rPr>
                <w:rFonts w:hint="eastAsia" w:ascii="仿宋_GB2312" w:hAnsi="宋体" w:eastAsia="仿宋_GB2312"/>
                <w:szCs w:val="21"/>
                <w:lang w:val="en-US" w:eastAsia="zh-CN"/>
              </w:rPr>
              <w:t>朱良撑</w:t>
            </w:r>
          </w:p>
        </w:tc>
        <w:tc>
          <w:tcPr>
            <w:tcW w:w="669" w:type="dxa"/>
            <w:vAlign w:val="top"/>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男</w:t>
            </w:r>
          </w:p>
        </w:tc>
        <w:tc>
          <w:tcPr>
            <w:tcW w:w="805" w:type="dxa"/>
            <w:vAlign w:val="top"/>
          </w:tcPr>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1989</w:t>
            </w:r>
          </w:p>
        </w:tc>
        <w:tc>
          <w:tcPr>
            <w:tcW w:w="938" w:type="dxa"/>
            <w:vAlign w:val="top"/>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讲师</w:t>
            </w:r>
          </w:p>
        </w:tc>
        <w:tc>
          <w:tcPr>
            <w:tcW w:w="1207" w:type="dxa"/>
            <w:vAlign w:val="top"/>
          </w:tcPr>
          <w:p>
            <w:pPr>
              <w:spacing w:line="480" w:lineRule="auto"/>
              <w:ind w:right="-693" w:rightChars="-330"/>
              <w:rPr>
                <w:rFonts w:hint="default" w:ascii="仿宋_GB2312" w:hAnsi="宋体" w:eastAsia="仿宋_GB2312" w:cs="Times New Roman"/>
                <w:kern w:val="2"/>
                <w:sz w:val="21"/>
                <w:szCs w:val="21"/>
                <w:lang w:val="en-US" w:eastAsia="zh-CN" w:bidi="ar-SA"/>
              </w:rPr>
            </w:pPr>
            <w:r>
              <w:rPr>
                <w:rFonts w:hint="eastAsia" w:ascii="仿宋_GB2312" w:hAnsi="宋体" w:eastAsia="仿宋_GB2312"/>
                <w:szCs w:val="21"/>
                <w:lang w:val="en-US" w:eastAsia="zh-CN"/>
              </w:rPr>
              <w:t>教师资格证</w:t>
            </w:r>
          </w:p>
        </w:tc>
        <w:tc>
          <w:tcPr>
            <w:tcW w:w="804" w:type="dxa"/>
            <w:vAlign w:val="top"/>
          </w:tcPr>
          <w:p>
            <w:pPr>
              <w:spacing w:line="480" w:lineRule="auto"/>
              <w:ind w:right="-693" w:rightChars="-330"/>
              <w:rPr>
                <w:rFonts w:ascii="仿宋_GB2312" w:hAnsi="宋体" w:eastAsia="仿宋_GB2312"/>
                <w:szCs w:val="21"/>
              </w:rPr>
            </w:pPr>
          </w:p>
        </w:tc>
        <w:tc>
          <w:tcPr>
            <w:tcW w:w="1072" w:type="dxa"/>
            <w:vAlign w:val="center"/>
          </w:tcPr>
          <w:p>
            <w:pPr>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rPr>
                <w:rFonts w:ascii="仿宋_GB2312" w:hAnsi="宋体" w:eastAsia="仿宋_GB2312"/>
                <w:szCs w:val="21"/>
              </w:rPr>
            </w:pPr>
            <w:r>
              <w:rPr>
                <w:rFonts w:hint="eastAsia" w:ascii="仿宋_GB2312" w:hAnsi="宋体" w:eastAsia="仿宋_GB2312"/>
                <w:szCs w:val="21"/>
                <w:lang w:val="en-US" w:eastAsia="zh-CN"/>
              </w:rPr>
              <w:t>教学</w:t>
            </w:r>
          </w:p>
        </w:tc>
        <w:tc>
          <w:tcPr>
            <w:tcW w:w="1198" w:type="dxa"/>
            <w:vAlign w:val="top"/>
          </w:tcPr>
          <w:p>
            <w:pPr>
              <w:ind w:right="-693" w:rightChars="-330"/>
              <w:rPr>
                <w:rFonts w:ascii="仿宋_GB2312" w:hAnsi="宋体" w:eastAsia="仿宋_GB2312"/>
                <w:szCs w:val="21"/>
              </w:rPr>
            </w:pPr>
          </w:p>
        </w:tc>
        <w:tc>
          <w:tcPr>
            <w:tcW w:w="432"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1053" w:type="dxa"/>
            <w:tcBorders>
              <w:top w:val="nil"/>
              <w:bottom w:val="single" w:color="auto" w:sz="4" w:space="0"/>
            </w:tcBorders>
            <w:vAlign w:val="center"/>
          </w:tcPr>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课程</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团队</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整体</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素质</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及青</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年教</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师培</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养</w:t>
            </w:r>
          </w:p>
        </w:tc>
        <w:tc>
          <w:tcPr>
            <w:tcW w:w="7851" w:type="dxa"/>
            <w:gridSpan w:val="9"/>
            <w:tcBorders>
              <w:top w:val="nil"/>
              <w:bottom w:val="single" w:color="auto" w:sz="4" w:space="0"/>
              <w:right w:val="single" w:color="auto" w:sz="4" w:space="0"/>
            </w:tcBorders>
          </w:tcPr>
          <w:p>
            <w:pPr>
              <w:ind w:right="-107" w:rightChars="-51"/>
              <w:rPr>
                <w:rFonts w:hint="eastAsia" w:ascii="仿宋_GB2312" w:hAnsi="宋体" w:eastAsia="仿宋_GB2312"/>
                <w:lang w:val="en-US" w:eastAsia="zh-CN"/>
              </w:rPr>
            </w:pPr>
            <w:r>
              <w:rPr>
                <w:rFonts w:hint="eastAsia" w:asciiTheme="majorEastAsia" w:hAnsiTheme="majorEastAsia" w:eastAsiaTheme="majorEastAsia"/>
              </w:rPr>
              <w:t>课程团队的“双师”结构、专兼教师比例、知识结构、专业技术职务及职业资格结构、年龄结构、学缘结构、优秀教育技术骨干配置、近五年培养青年教师的措施与成效：</w:t>
            </w: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20</w:t>
            </w:r>
            <w:r>
              <w:rPr>
                <w:rFonts w:hint="eastAsia" w:ascii="仿宋_GB2312" w:hAnsi="宋体" w:eastAsia="仿宋_GB2312"/>
                <w:lang w:val="en-US" w:eastAsia="zh-CN"/>
              </w:rPr>
              <w:t>19年度，依托于基础部，我校共有专兼职高等数学教师5名，专兼职教师比例为4：1，其中双师型教师1人，硕士生3名，本科生2人，其中3人取得相关领域专业技术职业资格证书，教师团队年龄结构主要集中于80后，学缘结构科学合理，专业骨干教师2人，近五年来高等数学课程团队依托与学校和基础部，实行新老搭配，以老带新、一对一、传帮带的形式培养新教师，在科研、教学方面为社会和学校培养了一大批科研、教学优秀人才。</w:t>
            </w: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73" w:rightChars="35"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p>
          <w:p>
            <w:pPr>
              <w:ind w:right="-107" w:rightChars="-51"/>
              <w:rPr>
                <w:rFonts w:hint="eastAsia" w:ascii="仿宋_GB2312" w:hAnsi="宋体" w:eastAsia="仿宋_GB2312"/>
                <w:lang w:val="en-US" w:eastAsia="zh-CN"/>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3</w:t>
      </w:r>
      <w:r>
        <w:rPr>
          <w:rFonts w:hint="eastAsia" w:ascii="仿宋_GB2312" w:hAnsi="宋体" w:eastAsia="仿宋_GB2312"/>
          <w:b/>
          <w:bCs/>
          <w:sz w:val="28"/>
        </w:rPr>
        <w:t>．课程建设</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3" w:hRule="atLeast"/>
          <w:jc w:val="center"/>
        </w:trPr>
        <w:tc>
          <w:tcPr>
            <w:tcW w:w="8897" w:type="dxa"/>
          </w:tcPr>
          <w:p>
            <w:pPr>
              <w:ind w:right="-107" w:rightChars="-51"/>
              <w:rPr>
                <w:rFonts w:hint="eastAsia" w:ascii="仿宋_GB2312" w:hAnsi="宋体" w:eastAsia="仿宋_GB2312"/>
                <w:lang w:val="en-US" w:eastAsia="zh-CN"/>
              </w:rPr>
            </w:pPr>
            <w:r>
              <w:rPr>
                <w:rFonts w:hint="eastAsia" w:asciiTheme="majorEastAsia" w:hAnsiTheme="majorEastAsia" w:eastAsiaTheme="majorEastAsia"/>
              </w:rPr>
              <w:t>详细介绍课程的性质与作用，设计的理念与思路，对专业建设与发展的定位与作用，持续建设和更新情况，以及转型升级为资源共享课情况：</w:t>
            </w: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default" w:ascii="仿宋_GB2312" w:hAnsi="宋体" w:eastAsia="仿宋_GB2312"/>
                <w:lang w:val="en-US" w:eastAsia="zh-CN"/>
              </w:rPr>
            </w:pPr>
            <w:r>
              <w:rPr>
                <w:rFonts w:hint="eastAsia" w:ascii="仿宋_GB2312" w:hAnsi="宋体" w:eastAsia="仿宋_GB2312"/>
                <w:lang w:val="en-US" w:eastAsia="zh-CN"/>
              </w:rPr>
              <w:t>高等数学课程是杨子职业技术学院理工科、经济类专业的公共基础课，是课程建设中的重要组成部分，对学生科学思维的培养和形成具有重要意义，对学生未来的职业素质、能力培养起着举足轻重的作用。</w:t>
            </w: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我校高等数学课程设计的指导思想包括五个部分：一、因材施教，进行分层教学。本着服务学生，以学生为中心的原则，《高等数学》课程需要发挥其服务性，为专业的学习打好坚实基础。以应用数学为目的，以能力培养为目标，培养学生用定性和定量相结合的方法解决实际问题的能力。二、启发式教学。注重问题的引入背景，使学生学会对问题进行分析，抓住问题的本质，将复杂化为简单，树立学生学好高等数学的信心。坚持“多教”和“多问”原则，精讲和提问相结合，优化教育教学内容和模式。三、加强练习，注重解题思路和技巧。对基本概念、基本理论、基本性质进行多侧面、多层次、由此及彼、由表及里的辨析。教会学生分析内在联系和本质。四、教学形式多样化。组织课后讨论小组，教师可提出具体问题，让小组的学生一起来提出解决的办法和方案，并实际求解。另外，在授课过程中也可以组织课堂讨论，多给学生时间思考，多给学生时间讨论，教师要总结、提炼、提升，一节课教师能给学生提出多少个有价值的问题，可以作为衡量教学质量的一个具体指标。五、教学手段现代化。引进现代教学手段进行多媒体进行教学，拓展教学形式与直观展示内容相结合，保证教学质量。</w:t>
            </w: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本学科专业建设发展的方向主要集中在两个方面：一方面使学生明确学习高等数学的意义，掌握学习的方法，对数学产生较为浓厚的学习兴趣；另一方面，使学生获得基本知识、培养学生基本运算能力、抽象概括能力、逻辑推理能力、自学能力和创新能力，为学生学习后续课程、解决实际问题以及今后工作和进一步深造奠定必要的教学基础。为了保持持续健康发展的势头，几年来，我校多次研究更新教材，通过不断摸索研究和实践教学，目前我校使用的《高等数学》教材系第五版本教材。</w:t>
            </w: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本课程资源库内容包括：教学大纲、电子教案、教学课件PPT、主讲教师的授课视频、习题集、试题库、习题答案、教师授课课程表等。</w:t>
            </w: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4</w:t>
      </w:r>
      <w:r>
        <w:rPr>
          <w:rFonts w:hint="eastAsia" w:ascii="仿宋_GB2312" w:hAnsi="宋体" w:eastAsia="仿宋_GB2312"/>
          <w:b/>
          <w:bCs/>
          <w:sz w:val="28"/>
        </w:rPr>
        <w:t>．课程内容</w:t>
      </w:r>
    </w:p>
    <w:tbl>
      <w:tblPr>
        <w:tblStyle w:val="4"/>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8751" w:type="dxa"/>
          </w:tcPr>
          <w:p>
            <w:pPr>
              <w:ind w:right="-107" w:rightChars="-51"/>
              <w:rPr>
                <w:rFonts w:hint="eastAsia" w:ascii="仿宋_GB2312" w:hAnsi="宋体" w:eastAsia="仿宋_GB2312"/>
                <w:lang w:val="en-US" w:eastAsia="zh-CN"/>
              </w:rPr>
            </w:pPr>
            <w:r>
              <w:rPr>
                <w:rFonts w:hint="eastAsia" w:asciiTheme="majorEastAsia" w:hAnsiTheme="majorEastAsia" w:eastAsiaTheme="majorEastAsia"/>
              </w:rPr>
              <w:t>课程内容的针对性与适用性、教学内容的组织与安排、教学模式的设计与创新、实践教学条件的建设与使用等:</w:t>
            </w:r>
          </w:p>
          <w:p>
            <w:pPr>
              <w:ind w:right="-107" w:rightChars="-51" w:firstLine="420" w:firstLineChars="200"/>
              <w:rPr>
                <w:rFonts w:hint="eastAsia" w:ascii="仿宋_GB2312" w:hAnsi="宋体" w:eastAsia="仿宋_GB2312"/>
                <w:lang w:val="en-US" w:eastAsia="zh-CN"/>
              </w:rPr>
            </w:pP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本课程共120课时，在授课时使用教材《高等数学》ISBN978-7-04-052694-3，系高等教育出版社，主编汪学骞、郭红财。本教材是由我校优秀教师结合本校学情和学生基础自主研发的教材，具有高度的针对性，适用于理工科和经济类学生教学使用，本课程更加偏向于应用数学的方向，突出概念、定理的理解与学生操作能力的培养。结合使用教材，本课程共分为11个章节，根据专业性质，本课程教材主要包含微积分、空间解析几何、线性代数、概率论，其中第七到九章节，工科类专业必学，经济类专业选修。</w:t>
            </w: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本课程教学模式主要是通过探究合作课堂模式来促进本课程的教学，通过学生分组探究、教师与学生合作教学等形式开展。在实践教学过程中，教师可通过建立学习兴趣小组进行分组探究，分组PK的形式来激发学生学习兴趣，提高数学学习的热情。教师通过多媒体教学将复杂晦涩的数学概念生动形象地展示给学生。</w:t>
            </w:r>
          </w:p>
          <w:p>
            <w:pPr>
              <w:ind w:right="-107" w:rightChars="-51"/>
              <w:rPr>
                <w:rFonts w:hint="default" w:ascii="仿宋_GB2312" w:hAnsi="宋体" w:eastAsia="仿宋_GB2312"/>
                <w:lang w:val="en-US" w:eastAsia="zh-CN"/>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5</w:t>
      </w:r>
      <w:r>
        <w:rPr>
          <w:rFonts w:hint="eastAsia" w:ascii="仿宋_GB2312" w:hAnsi="宋体" w:eastAsia="仿宋_GB2312"/>
          <w:b/>
          <w:bCs/>
          <w:sz w:val="28"/>
        </w:rPr>
        <w:t>．课程资源</w:t>
      </w:r>
    </w:p>
    <w:tbl>
      <w:tblPr>
        <w:tblStyle w:val="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8672" w:type="dxa"/>
          </w:tcPr>
          <w:p>
            <w:pPr>
              <w:jc w:val="left"/>
              <w:rPr>
                <w:rFonts w:hint="eastAsia" w:ascii="仿宋_GB2312" w:hAnsi="宋体" w:eastAsia="仿宋_GB2312"/>
                <w:sz w:val="24"/>
                <w:lang w:val="en-US" w:eastAsia="zh-CN"/>
              </w:rPr>
            </w:pPr>
          </w:p>
          <w:p>
            <w:pPr>
              <w:ind w:firstLine="420" w:firstLineChars="200"/>
              <w:jc w:val="left"/>
              <w:rPr>
                <w:rFonts w:hint="default" w:ascii="仿宋_GB2312" w:hAnsi="宋体" w:eastAsia="仿宋_GB2312"/>
                <w:sz w:val="24"/>
                <w:lang w:val="en-US" w:eastAsia="zh-CN"/>
              </w:rPr>
            </w:pPr>
            <w:r>
              <w:rPr>
                <w:rFonts w:hint="eastAsia" w:ascii="仿宋_GB2312" w:hAnsi="宋体" w:eastAsia="仿宋_GB2312"/>
                <w:lang w:val="en-US" w:eastAsia="zh-CN"/>
              </w:rPr>
              <w:t>本课程的教学资源是在教研室统一规划下指定的，教学大纲、电子教案、教学课件PPT、习题集、习题库等具有一定的相似性，各授课教师根据所受班级的学生情况进行补充修改以更加适合实际教学用。相关的视频和文档，以二维码的形式出现在教材中，学生可以随时通过扫描书本上的二维码进行自主学习和拓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8672" w:type="dxa"/>
          </w:tcPr>
          <w:p>
            <w:pPr>
              <w:jc w:val="left"/>
              <w:rPr>
                <w:rFonts w:ascii="仿宋_GB2312" w:hAnsi="宋体" w:eastAsia="仿宋_GB2312"/>
                <w:sz w:val="24"/>
              </w:rPr>
            </w:pPr>
          </w:p>
          <w:p>
            <w:pPr>
              <w:ind w:firstLine="420" w:firstLineChars="200"/>
              <w:jc w:val="left"/>
              <w:rPr>
                <w:rFonts w:ascii="仿宋_GB2312" w:hAnsi="宋体" w:eastAsia="仿宋_GB2312"/>
                <w:sz w:val="24"/>
              </w:rPr>
            </w:pPr>
            <w:r>
              <w:rPr>
                <w:rFonts w:hint="eastAsia" w:ascii="仿宋_GB2312" w:hAnsi="宋体" w:eastAsia="仿宋_GB2312"/>
                <w:lang w:val="en-US" w:eastAsia="zh-CN"/>
              </w:rPr>
              <w:t>本课程教学资源库包括：教学大纲、电子教案、教学课件PPT、习题集、习题库、优秀教师授课视频、教师授课课程表等。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672" w:type="dxa"/>
          </w:tcPr>
          <w:p>
            <w:pPr>
              <w:ind w:firstLine="420" w:firstLineChars="200"/>
              <w:jc w:val="left"/>
              <w:rPr>
                <w:rFonts w:hint="default" w:ascii="仿宋_GB2312" w:hAnsi="宋体" w:eastAsia="仿宋_GB2312"/>
                <w:sz w:val="24"/>
                <w:lang w:val="en-US" w:eastAsia="zh-CN"/>
              </w:rPr>
            </w:pPr>
            <w:r>
              <w:rPr>
                <w:rFonts w:hint="eastAsia" w:ascii="仿宋_GB2312" w:hAnsi="宋体" w:eastAsia="仿宋_GB2312"/>
                <w:lang w:val="en-US" w:eastAsia="zh-CN"/>
              </w:rPr>
              <w:t>拓展资源主要包括：动画、授课视频、文档。这些资源可以通过教材封底的联系方式获取资源，教师和学生还可以通过扫描课本中的二维码获得丰富的教学资源。</w:t>
            </w: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6</w:t>
      </w:r>
      <w:r>
        <w:rPr>
          <w:rFonts w:hint="eastAsia" w:ascii="仿宋_GB2312" w:hAnsi="宋体" w:eastAsia="仿宋_GB2312"/>
          <w:b/>
          <w:bCs/>
          <w:sz w:val="28"/>
        </w:rPr>
        <w:t>．课程评价</w:t>
      </w:r>
    </w:p>
    <w:tbl>
      <w:tblPr>
        <w:tblStyle w:val="4"/>
        <w:tblW w:w="868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trPr>
        <w:tc>
          <w:tcPr>
            <w:tcW w:w="8688" w:type="dxa"/>
          </w:tcPr>
          <w:p>
            <w:pPr>
              <w:ind w:right="-107" w:rightChars="-51"/>
              <w:rPr>
                <w:rFonts w:ascii="仿宋_GB2312" w:hAnsi="宋体" w:eastAsia="仿宋_GB2312"/>
                <w:sz w:val="24"/>
              </w:rPr>
            </w:pPr>
            <w:r>
              <w:rPr>
                <w:rFonts w:hint="eastAsia" w:ascii="仿宋_GB2312" w:hAnsi="宋体" w:eastAsia="仿宋_GB2312"/>
              </w:rPr>
              <w:t>自我评价、同行评价、行业企业专家评价、学生评价、社会使用评价等:</w:t>
            </w:r>
          </w:p>
          <w:p>
            <w:pPr>
              <w:ind w:firstLine="420" w:firstLineChars="200"/>
              <w:jc w:val="left"/>
              <w:rPr>
                <w:rFonts w:hint="eastAsia" w:ascii="仿宋_GB2312" w:hAnsi="宋体" w:eastAsia="仿宋_GB2312"/>
                <w:lang w:val="en-US" w:eastAsia="zh-CN"/>
              </w:rPr>
            </w:pPr>
          </w:p>
          <w:p>
            <w:pPr>
              <w:ind w:firstLine="420" w:firstLineChars="200"/>
              <w:jc w:val="left"/>
              <w:rPr>
                <w:rFonts w:hint="default" w:ascii="仿宋_GB2312" w:hAnsi="宋体" w:eastAsia="仿宋_GB2312"/>
                <w:lang w:val="en-US" w:eastAsia="zh-CN"/>
              </w:rPr>
            </w:pPr>
            <w:r>
              <w:rPr>
                <w:rFonts w:hint="eastAsia" w:ascii="仿宋_GB2312" w:hAnsi="宋体" w:eastAsia="仿宋_GB2312"/>
                <w:lang w:val="en-US" w:eastAsia="zh-CN"/>
              </w:rPr>
              <w:t>按照“衔接、够用、适度”的原则进行教学。在教授课程过程中，通过带领学生回忆加深学生对已学知识的回忆和巩固。</w:t>
            </w:r>
            <w:bookmarkStart w:id="0" w:name="_GoBack"/>
            <w:bookmarkEnd w:id="0"/>
            <w:r>
              <w:rPr>
                <w:rFonts w:hint="eastAsia" w:ascii="仿宋_GB2312" w:hAnsi="宋体" w:eastAsia="仿宋_GB2312"/>
                <w:lang w:val="en-US" w:eastAsia="zh-CN"/>
              </w:rPr>
              <w:t>考虑到大部分高职学生的数学基础较为薄弱，我们在教学内容中删掉一些难度较大的例题和习题，增加一些与知识点对应的易于理解的例题和习题，把课堂的主体真正回归到到学生，以学生的理解程度来衡量课堂教学效果。</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 xml:space="preserve">  我校提出的加强高等数学与初等数学“衔接”的教学理念较为先进。通过与兄弟院校的沟通和交流，我校的这些教学理念得到了许多院校领导和同仁的肯定。在高等教育出版社的组织下，我校整合优秀教师资源，自主研发编写《高等数学》教材，并整合了配套的视频、文件辅助教学资料。与国内同类院校相比，本课程在教学理念、教学方法的探索与改革、课程总体设计、教材建设等方面具有一些独到之处，但在科学研究、科研论文、创新能力培养等方面与国内外同类课程尚有一定差距。</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我院学生对《高等教育》课程给予了较高的评价：在教学过程中，老师讲课思路清晰、重点突出，教学手段灵活，PPT与板书教学相结合，教学案例循循善诱，十分重视理论与实践的结合，引导学生利用所学知识解决实际问题，激发了他们的学习热情，培养了他们学习的主动性。另外，本校自主研发的《高等数学》教材已经经过五个版本的改进和优化，已正式出版，也感谢社会各级人士给与的建议与褒奖。</w:t>
            </w:r>
          </w:p>
          <w:p>
            <w:pPr>
              <w:ind w:firstLine="420" w:firstLineChars="200"/>
              <w:jc w:val="left"/>
              <w:rPr>
                <w:rFonts w:hint="eastAsia" w:ascii="仿宋_GB2312" w:hAnsi="宋体" w:eastAsia="仿宋_GB2312"/>
                <w:lang w:val="en-US" w:eastAsia="zh-CN"/>
              </w:rPr>
            </w:pPr>
          </w:p>
          <w:p>
            <w:pPr>
              <w:ind w:firstLine="420" w:firstLineChars="200"/>
              <w:jc w:val="left"/>
              <w:rPr>
                <w:rFonts w:hint="eastAsia" w:ascii="仿宋_GB2312" w:hAnsi="宋体" w:eastAsia="仿宋_GB2312"/>
                <w:lang w:val="en-US" w:eastAsia="zh-CN"/>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7</w:t>
      </w:r>
      <w:r>
        <w:rPr>
          <w:rFonts w:hint="eastAsia" w:ascii="仿宋_GB2312" w:hAnsi="宋体" w:eastAsia="仿宋_GB2312"/>
          <w:b/>
          <w:bCs/>
          <w:sz w:val="28"/>
        </w:rPr>
        <w:t>．系部政策支持</w:t>
      </w:r>
    </w:p>
    <w:tbl>
      <w:tblPr>
        <w:tblStyle w:val="4"/>
        <w:tblW w:w="8676"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676" w:type="dxa"/>
          </w:tcPr>
          <w:p>
            <w:pPr>
              <w:ind w:right="-107" w:rightChars="-51"/>
              <w:rPr>
                <w:rFonts w:asciiTheme="majorEastAsia" w:hAnsiTheme="majorEastAsia" w:eastAsiaTheme="majorEastAsia"/>
              </w:rPr>
            </w:pPr>
            <w:r>
              <w:rPr>
                <w:rFonts w:hint="eastAsia" w:asciiTheme="majorEastAsia" w:hAnsiTheme="majorEastAsia" w:eastAsiaTheme="majorEastAsia"/>
              </w:rPr>
              <w:t>详述系部对本课程已落实的政策支持与措施，对下一步深入推进建设新的政策承诺与措施设计:</w:t>
            </w:r>
          </w:p>
          <w:p>
            <w:pPr>
              <w:ind w:firstLine="420" w:firstLineChars="200"/>
              <w:rPr>
                <w:rFonts w:ascii="仿宋_GB2312" w:hAnsi="宋体" w:eastAsia="仿宋_GB2312"/>
                <w:b/>
                <w:bCs/>
                <w:sz w:val="28"/>
              </w:rPr>
            </w:pPr>
            <w:r>
              <w:rPr>
                <w:rFonts w:hint="eastAsia" w:ascii="仿宋_GB2312" w:hAnsi="宋体" w:eastAsia="仿宋_GB2312"/>
                <w:lang w:val="en-US" w:eastAsia="zh-CN"/>
              </w:rPr>
              <w:t>学院和基础部高度重视高等数学课程建设。在本课程软、硬件方面进行了大量的投入，成立了数学教研室，由老带新的形式加速新教师的培养。计划在未来几年高等数学课程按照省级：精品资源共享课程的相关指标进行建设。建设期间教务处、学科教研室、基础部的相关领导、专家将按照计划多次对课程进行检查、督促。</w:t>
            </w:r>
          </w:p>
        </w:tc>
      </w:tr>
    </w:tbl>
    <w:p>
      <w:pPr>
        <w:rPr>
          <w:rFonts w:ascii="仿宋_GB2312" w:hAnsi="宋体" w:eastAsia="仿宋_GB2312"/>
          <w:b/>
          <w:bCs/>
          <w:sz w:val="28"/>
        </w:rPr>
      </w:pPr>
      <w:r>
        <w:rPr>
          <w:rFonts w:hint="eastAsia" w:ascii="仿宋_GB2312" w:hAnsi="宋体" w:eastAsia="仿宋_GB2312"/>
          <w:b/>
          <w:bCs/>
          <w:sz w:val="28"/>
        </w:rPr>
        <w:t>8．承诺与责任</w:t>
      </w:r>
    </w:p>
    <w:tbl>
      <w:tblPr>
        <w:tblStyle w:val="4"/>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8587" w:type="dxa"/>
          </w:tcPr>
          <w:p>
            <w:pPr>
              <w:spacing w:line="240" w:lineRule="exact"/>
              <w:ind w:firstLine="420" w:firstLineChars="200"/>
              <w:rPr>
                <w:rFonts w:ascii="仿宋_GB2312" w:hAnsi="宋体" w:eastAsia="仿宋_GB2312"/>
                <w:szCs w:val="21"/>
              </w:rPr>
            </w:pPr>
            <w:r>
              <w:rPr>
                <w:rFonts w:hint="eastAsia" w:ascii="仿宋_GB2312" w:hAnsi="宋体" w:eastAsia="仿宋_GB2312"/>
                <w:szCs w:val="21"/>
              </w:rPr>
              <w:t>1．学校和课程负责人保证申报所使用的课程资源知识产权清晰，无侵权使用的情况，若免费共享的基本资源涉及到第三方权益，须将“课程资源使用授权书</w:t>
            </w:r>
            <w:r>
              <w:rPr>
                <w:rFonts w:ascii="仿宋_GB2312" w:hAnsi="宋体" w:eastAsia="仿宋_GB2312"/>
                <w:szCs w:val="21"/>
              </w:rPr>
              <w:t>”</w:t>
            </w:r>
            <w:r>
              <w:rPr>
                <w:rFonts w:hint="eastAsia" w:ascii="仿宋_GB2312" w:hAnsi="宋体" w:eastAsia="仿宋_GB2312"/>
                <w:szCs w:val="21"/>
              </w:rPr>
              <w:t>[注]附后；</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2．学校和课程负责人保证课程资源内容不存在政治性、思想性、科学性和规范性问题；</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3．系部和课程负责人保证课程资源及申报材料不涉及国家安全和保密的相关规定，可以在网络上公开传播与使用；</w:t>
            </w:r>
          </w:p>
          <w:p>
            <w:pPr>
              <w:spacing w:line="240" w:lineRule="exact"/>
              <w:ind w:firstLine="420" w:firstLineChars="200"/>
              <w:rPr>
                <w:rFonts w:hint="eastAsia" w:ascii="仿宋_GB2312" w:hAnsi="宋体" w:eastAsia="仿宋_GB2312"/>
                <w:szCs w:val="21"/>
              </w:rPr>
            </w:pPr>
            <w:r>
              <w:rPr>
                <w:rFonts w:hint="eastAsia" w:ascii="仿宋_GB2312" w:hAnsi="宋体" w:eastAsia="仿宋_GB2312"/>
                <w:szCs w:val="21"/>
              </w:rPr>
              <w:t>4．申报课程入选后，保证基本资源在“阿坝师范高等专科学校教学资源公共服务平台”免费共享。</w:t>
            </w:r>
          </w:p>
          <w:p>
            <w:pPr>
              <w:spacing w:line="240" w:lineRule="exact"/>
              <w:ind w:firstLine="420" w:firstLineChars="200"/>
              <w:rPr>
                <w:rFonts w:hint="eastAsia" w:ascii="仿宋_GB2312" w:hAnsi="宋体" w:eastAsia="仿宋_GB2312"/>
                <w:szCs w:val="21"/>
              </w:rPr>
            </w:pP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课程负责人签字：</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系部公章：</w:t>
            </w:r>
          </w:p>
          <w:p>
            <w:pPr>
              <w:rPr>
                <w:rFonts w:ascii="仿宋_GB2312" w:hAnsi="宋体" w:eastAsia="仿宋_GB2312"/>
                <w:b/>
                <w:bCs/>
                <w:sz w:val="28"/>
              </w:rPr>
            </w:pPr>
            <w:r>
              <w:rPr>
                <w:rFonts w:hint="eastAsia" w:ascii="仿宋_GB2312" w:hAnsi="宋体" w:eastAsia="仿宋_GB2312"/>
                <w:bCs/>
                <w:szCs w:val="21"/>
              </w:rPr>
              <w:t xml:space="preserve">                                                   日期：</w:t>
            </w:r>
          </w:p>
        </w:tc>
      </w:tr>
    </w:tbl>
    <w:p>
      <w:pPr>
        <w:spacing w:line="480" w:lineRule="auto"/>
        <w:ind w:right="-693" w:rightChars="-330" w:firstLine="141" w:firstLineChars="50"/>
        <w:rPr>
          <w:rFonts w:ascii="仿宋_GB2312" w:hAnsi="宋体" w:eastAsia="仿宋_GB2312"/>
          <w:b/>
          <w:bCs/>
          <w:sz w:val="28"/>
        </w:rPr>
      </w:pPr>
      <w:r>
        <w:rPr>
          <w:rFonts w:hint="eastAsia" w:ascii="仿宋_GB2312" w:hAnsi="宋体" w:eastAsia="仿宋_GB2312"/>
          <w:b/>
          <w:bCs/>
          <w:sz w:val="28"/>
        </w:rPr>
        <w:t>9．系部推荐意见</w:t>
      </w:r>
    </w:p>
    <w:tbl>
      <w:tblPr>
        <w:tblStyle w:val="4"/>
        <w:tblW w:w="0" w:type="auto"/>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563" w:type="dxa"/>
          </w:tcPr>
          <w:p>
            <w:pPr>
              <w:rPr>
                <w:color w:val="FF0000"/>
              </w:rPr>
            </w:pPr>
          </w:p>
          <w:p>
            <w:pPr>
              <w:rPr>
                <w:color w:val="FF0000"/>
              </w:rPr>
            </w:pPr>
          </w:p>
          <w:p>
            <w:pPr>
              <w:spacing w:line="360" w:lineRule="auto"/>
              <w:ind w:right="910" w:firstLine="5460" w:firstLineChars="2600"/>
              <w:rPr>
                <w:rFonts w:eastAsia="仿宋_GB2312"/>
              </w:rPr>
            </w:pPr>
            <w:r>
              <w:rPr>
                <w:rFonts w:hint="eastAsia" w:eastAsia="仿宋_GB2312"/>
              </w:rPr>
              <w:t>二级学院（公章）</w:t>
            </w:r>
          </w:p>
          <w:p>
            <w:pPr>
              <w:spacing w:line="360" w:lineRule="auto"/>
              <w:ind w:right="910" w:firstLine="5355" w:firstLineChars="2550"/>
              <w:rPr>
                <w:rFonts w:eastAsia="仿宋_GB2312"/>
              </w:rPr>
            </w:pPr>
          </w:p>
          <w:p>
            <w:pPr>
              <w:ind w:firstLine="4200" w:firstLineChars="2000"/>
            </w:pPr>
            <w:r>
              <w:rPr>
                <w:rFonts w:hint="eastAsia" w:eastAsia="仿宋_GB2312"/>
              </w:rPr>
              <w:t>责人（签字）</w:t>
            </w:r>
            <w:r>
              <w:rPr>
                <w:rFonts w:eastAsia="仿宋_GB2312"/>
              </w:rPr>
              <w:t>年   月   日</w:t>
            </w:r>
          </w:p>
          <w:p>
            <w:pPr>
              <w:rPr>
                <w:color w:val="FF0000"/>
              </w:rPr>
            </w:pPr>
          </w:p>
        </w:tc>
      </w:tr>
    </w:tbl>
    <w:p>
      <w:pPr>
        <w:rPr>
          <w:rFonts w:ascii="仿宋" w:hAnsi="仿宋" w:eastAsia="仿宋"/>
          <w:b/>
          <w:sz w:val="28"/>
          <w:szCs w:val="28"/>
        </w:rPr>
      </w:pPr>
      <w:r>
        <w:rPr>
          <w:rFonts w:hint="eastAsia" w:ascii="仿宋" w:hAnsi="仿宋" w:eastAsia="仿宋"/>
          <w:b/>
          <w:sz w:val="28"/>
          <w:szCs w:val="28"/>
        </w:rPr>
        <w:t>10.学院审批意见</w:t>
      </w:r>
    </w:p>
    <w:tbl>
      <w:tblPr>
        <w:tblStyle w:val="4"/>
        <w:tblW w:w="0" w:type="auto"/>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8563" w:type="dxa"/>
          </w:tcPr>
          <w:p>
            <w:pPr>
              <w:rPr>
                <w:color w:val="FF0000"/>
              </w:rPr>
            </w:pPr>
          </w:p>
          <w:p>
            <w:pPr>
              <w:spacing w:line="360" w:lineRule="auto"/>
              <w:ind w:right="910"/>
              <w:rPr>
                <w:rFonts w:ascii="仿宋" w:hAnsi="仿宋" w:eastAsia="仿宋"/>
                <w:szCs w:val="21"/>
              </w:rPr>
            </w:pPr>
          </w:p>
          <w:p>
            <w:pPr>
              <w:spacing w:line="360" w:lineRule="auto"/>
              <w:ind w:right="910" w:firstLine="5334" w:firstLineChars="2540"/>
              <w:rPr>
                <w:rFonts w:ascii="仿宋" w:hAnsi="仿宋" w:eastAsia="仿宋"/>
                <w:szCs w:val="21"/>
              </w:rPr>
            </w:pPr>
          </w:p>
          <w:p>
            <w:pPr>
              <w:spacing w:line="360" w:lineRule="auto"/>
              <w:ind w:right="910" w:firstLine="5334" w:firstLineChars="2540"/>
              <w:rPr>
                <w:rFonts w:asciiTheme="majorEastAsia" w:hAnsiTheme="majorEastAsia" w:eastAsiaTheme="majorEastAsia"/>
              </w:rPr>
            </w:pPr>
            <w:r>
              <w:rPr>
                <w:rFonts w:hint="eastAsia" w:asciiTheme="majorEastAsia" w:hAnsiTheme="majorEastAsia" w:eastAsiaTheme="majorEastAsia"/>
                <w:szCs w:val="21"/>
              </w:rPr>
              <w:t>学校</w:t>
            </w:r>
            <w:r>
              <w:rPr>
                <w:rFonts w:hint="eastAsia" w:asciiTheme="majorEastAsia" w:hAnsiTheme="majorEastAsia" w:eastAsiaTheme="majorEastAsia"/>
              </w:rPr>
              <w:t>（公章）</w:t>
            </w:r>
          </w:p>
          <w:p>
            <w:pPr>
              <w:ind w:firstLine="5355" w:firstLineChars="2550"/>
            </w:pPr>
            <w:r>
              <w:rPr>
                <w:rFonts w:eastAsia="仿宋_GB2312"/>
              </w:rPr>
              <w:t>年   月   日</w:t>
            </w:r>
          </w:p>
          <w:p>
            <w:pPr>
              <w:rPr>
                <w:color w:val="FF0000"/>
              </w:rPr>
            </w:pPr>
          </w:p>
        </w:tc>
      </w:tr>
    </w:tbl>
    <w:p>
      <w:pPr>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080"/>
        </w:tabs>
        <w:ind w:left="1080"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D2"/>
    <w:rsid w:val="000333ED"/>
    <w:rsid w:val="0015205E"/>
    <w:rsid w:val="001F5015"/>
    <w:rsid w:val="00256CA0"/>
    <w:rsid w:val="002A62F7"/>
    <w:rsid w:val="00300FF2"/>
    <w:rsid w:val="003231CF"/>
    <w:rsid w:val="00493927"/>
    <w:rsid w:val="00497C4A"/>
    <w:rsid w:val="004B4E49"/>
    <w:rsid w:val="00714CFF"/>
    <w:rsid w:val="007449B0"/>
    <w:rsid w:val="00781DD2"/>
    <w:rsid w:val="00904619"/>
    <w:rsid w:val="00B1733C"/>
    <w:rsid w:val="00BC6ABA"/>
    <w:rsid w:val="00CF5597"/>
    <w:rsid w:val="00D403D4"/>
    <w:rsid w:val="00EB0640"/>
    <w:rsid w:val="012F021E"/>
    <w:rsid w:val="04C34857"/>
    <w:rsid w:val="0ADD1740"/>
    <w:rsid w:val="156533ED"/>
    <w:rsid w:val="170028AD"/>
    <w:rsid w:val="1B386257"/>
    <w:rsid w:val="417315F3"/>
    <w:rsid w:val="496C7CD1"/>
    <w:rsid w:val="50E47CCF"/>
    <w:rsid w:val="61C10B34"/>
    <w:rsid w:val="653C08D5"/>
    <w:rsid w:val="7577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283</Words>
  <Characters>1614</Characters>
  <Lines>13</Lines>
  <Paragraphs>3</Paragraphs>
  <TotalTime>31</TotalTime>
  <ScaleCrop>false</ScaleCrop>
  <LinksUpToDate>false</LinksUpToDate>
  <CharactersWithSpaces>1894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2020-06-24T06:29:00Z</dcterms:created>
  <dc:creator>微软用户</dc:creator>
  <cp:lastModifiedBy>一碗稀范</cp:lastModifiedBy>
  <dcterms:modified xsi:type="dcterms:W3CDTF">2020-10-24T05:59:27Z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